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241" w:rsidRPr="00A90241" w:rsidRDefault="00A90241" w:rsidP="00A90241">
      <w:pPr>
        <w:pStyle w:val="Heading5"/>
        <w:numPr>
          <w:ilvl w:val="0"/>
          <w:numId w:val="0"/>
        </w:numPr>
        <w:tabs>
          <w:tab w:val="clear" w:pos="1134"/>
          <w:tab w:val="left" w:pos="1418"/>
        </w:tabs>
        <w:ind w:left="709"/>
        <w:rPr>
          <w:b/>
          <w:szCs w:val="24"/>
        </w:rPr>
      </w:pPr>
      <w:bookmarkStart w:id="0" w:name="_Toc92196606"/>
      <w:r w:rsidRPr="00A90241">
        <w:rPr>
          <w:b/>
          <w:szCs w:val="24"/>
        </w:rPr>
        <w:t>Significant distortions affecting the domestic prices and costs in China</w:t>
      </w:r>
      <w:bookmarkEnd w:id="0"/>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T</w:t>
      </w:r>
      <w:bookmarkStart w:id="1" w:name="_GoBack"/>
      <w:bookmarkEnd w:id="1"/>
      <w:r w:rsidRPr="00A90241">
        <w:rPr>
          <w:rFonts w:ascii="Times New Roman" w:hAnsi="Times New Roman" w:cs="Times New Roman"/>
          <w:sz w:val="24"/>
          <w:szCs w:val="24"/>
        </w:rPr>
        <w:t xml:space="preserve">he very foundation of the Chinese economic system, namely the concept of the so-called ‘socialist market economy’, is at odds with the notion of free play of market forces. </w:t>
      </w:r>
      <w:proofErr w:type="gramStart"/>
      <w:r w:rsidRPr="00A90241">
        <w:rPr>
          <w:rFonts w:ascii="Times New Roman" w:hAnsi="Times New Roman" w:cs="Times New Roman"/>
          <w:sz w:val="24"/>
          <w:szCs w:val="24"/>
        </w:rPr>
        <w:t>The ‘socialist market economy’ concept is enshrined in the Chinese Constitution and determines the economic governance of China.</w:t>
      </w:r>
      <w:proofErr w:type="gramEnd"/>
      <w:r w:rsidRPr="00A90241">
        <w:rPr>
          <w:rFonts w:ascii="Times New Roman" w:hAnsi="Times New Roman" w:cs="Times New Roman"/>
          <w:sz w:val="24"/>
          <w:szCs w:val="24"/>
        </w:rPr>
        <w:t xml:space="preserve"> The core principle is the “</w:t>
      </w:r>
      <w:r w:rsidRPr="00A90241">
        <w:rPr>
          <w:rFonts w:ascii="Times New Roman" w:hAnsi="Times New Roman" w:cs="Times New Roman"/>
          <w:i/>
          <w:sz w:val="24"/>
          <w:szCs w:val="24"/>
        </w:rPr>
        <w:t>socialist public ownership of the means of production, namely, ownership by the whole people and collective ownership by the working people</w:t>
      </w:r>
      <w:r w:rsidRPr="00A90241">
        <w:rPr>
          <w:rFonts w:ascii="Times New Roman" w:hAnsi="Times New Roman" w:cs="Times New Roman"/>
          <w:sz w:val="24"/>
          <w:szCs w:val="24"/>
        </w:rPr>
        <w:t xml:space="preserve">”. The State-owned economy </w:t>
      </w:r>
      <w:proofErr w:type="gramStart"/>
      <w:r w:rsidRPr="00A90241">
        <w:rPr>
          <w:rFonts w:ascii="Times New Roman" w:hAnsi="Times New Roman" w:cs="Times New Roman"/>
          <w:sz w:val="24"/>
          <w:szCs w:val="24"/>
        </w:rPr>
        <w:t>is considered</w:t>
      </w:r>
      <w:proofErr w:type="gramEnd"/>
      <w:r w:rsidRPr="00A90241">
        <w:rPr>
          <w:rFonts w:ascii="Times New Roman" w:hAnsi="Times New Roman" w:cs="Times New Roman"/>
          <w:sz w:val="24"/>
          <w:szCs w:val="24"/>
        </w:rPr>
        <w:t xml:space="preserve"> the “</w:t>
      </w:r>
      <w:r w:rsidRPr="00A90241">
        <w:rPr>
          <w:rFonts w:ascii="Times New Roman" w:hAnsi="Times New Roman" w:cs="Times New Roman"/>
          <w:i/>
          <w:sz w:val="24"/>
          <w:szCs w:val="24"/>
        </w:rPr>
        <w:t>leading force of the national economy</w:t>
      </w:r>
      <w:r w:rsidRPr="00A90241">
        <w:rPr>
          <w:rFonts w:ascii="Times New Roman" w:hAnsi="Times New Roman" w:cs="Times New Roman"/>
          <w:sz w:val="24"/>
          <w:szCs w:val="24"/>
        </w:rPr>
        <w:t>” and the State has the mandate “</w:t>
      </w:r>
      <w:r w:rsidRPr="00A90241">
        <w:rPr>
          <w:rFonts w:ascii="Times New Roman" w:hAnsi="Times New Roman" w:cs="Times New Roman"/>
          <w:i/>
          <w:sz w:val="24"/>
          <w:szCs w:val="24"/>
        </w:rPr>
        <w:t>to ensure its consolidation and growth.</w:t>
      </w:r>
      <w:r w:rsidRPr="00A90241">
        <w:rPr>
          <w:rFonts w:ascii="Times New Roman" w:hAnsi="Times New Roman" w:cs="Times New Roman"/>
          <w:sz w:val="24"/>
          <w:szCs w:val="24"/>
        </w:rPr>
        <w:t>”</w:t>
      </w:r>
      <w:r w:rsidRPr="00A90241">
        <w:rPr>
          <w:rFonts w:ascii="Times New Roman" w:hAnsi="Times New Roman" w:cs="Times New Roman"/>
          <w:sz w:val="24"/>
          <w:szCs w:val="24"/>
          <w:vertAlign w:val="superscript"/>
        </w:rPr>
        <w:footnoteReference w:id="1"/>
      </w:r>
      <w:r w:rsidRPr="00A90241">
        <w:rPr>
          <w:rFonts w:ascii="Times New Roman" w:hAnsi="Times New Roman" w:cs="Times New Roman"/>
          <w:sz w:val="24"/>
          <w:szCs w:val="24"/>
        </w:rPr>
        <w:t xml:space="preserve"> Consequently, the overall setup of the Chinese economy not only allows for substantial government intervention in the economy, nay such interventions are </w:t>
      </w:r>
      <w:r w:rsidRPr="00A90241">
        <w:rPr>
          <w:rFonts w:ascii="Times New Roman" w:hAnsi="Times New Roman" w:cs="Times New Roman"/>
          <w:i/>
          <w:sz w:val="24"/>
          <w:szCs w:val="24"/>
        </w:rPr>
        <w:t>expressly mandated</w:t>
      </w:r>
      <w:r w:rsidRPr="00A90241">
        <w:rPr>
          <w:rFonts w:ascii="Times New Roman" w:hAnsi="Times New Roman" w:cs="Times New Roman"/>
          <w:sz w:val="24"/>
          <w:szCs w:val="24"/>
        </w:rPr>
        <w:t xml:space="preserve">. The notion of the supremacy of public ownership over private ownership permeates the entire legal system and </w:t>
      </w:r>
      <w:proofErr w:type="gramStart"/>
      <w:r w:rsidRPr="00A90241">
        <w:rPr>
          <w:rFonts w:ascii="Times New Roman" w:hAnsi="Times New Roman" w:cs="Times New Roman"/>
          <w:sz w:val="24"/>
          <w:szCs w:val="24"/>
        </w:rPr>
        <w:t>is emphasized</w:t>
      </w:r>
      <w:proofErr w:type="gramEnd"/>
      <w:r w:rsidRPr="00A90241">
        <w:rPr>
          <w:rFonts w:ascii="Times New Roman" w:hAnsi="Times New Roman" w:cs="Times New Roman"/>
          <w:sz w:val="24"/>
          <w:szCs w:val="24"/>
        </w:rPr>
        <w:t xml:space="preserve"> as a general principle in all central pieces of legislation. The Chinese property law is a prime example: it refers to the primary stage of socialism and entrusts the State with upholding the basic economic system under which public ownership plays a dominant role. Other forms of ownership </w:t>
      </w:r>
      <w:proofErr w:type="gramStart"/>
      <w:r w:rsidRPr="00A90241">
        <w:rPr>
          <w:rFonts w:ascii="Times New Roman" w:hAnsi="Times New Roman" w:cs="Times New Roman"/>
          <w:sz w:val="24"/>
          <w:szCs w:val="24"/>
        </w:rPr>
        <w:t>are tolerated</w:t>
      </w:r>
      <w:proofErr w:type="gramEnd"/>
      <w:r w:rsidRPr="00A90241">
        <w:rPr>
          <w:rFonts w:ascii="Times New Roman" w:hAnsi="Times New Roman" w:cs="Times New Roman"/>
          <w:sz w:val="24"/>
          <w:szCs w:val="24"/>
        </w:rPr>
        <w:t>, with the law permitting them to develop side by side with State ownership.</w:t>
      </w:r>
      <w:r w:rsidRPr="00A90241">
        <w:rPr>
          <w:rFonts w:ascii="Times New Roman" w:hAnsi="Times New Roman" w:cs="Times New Roman"/>
          <w:sz w:val="24"/>
          <w:szCs w:val="24"/>
          <w:vertAlign w:val="superscript"/>
        </w:rPr>
        <w:footnoteReference w:id="2"/>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In addition, according to relevant Chinese legislation, the socialist market economy </w:t>
      </w:r>
      <w:proofErr w:type="gramStart"/>
      <w:r w:rsidRPr="00A90241">
        <w:rPr>
          <w:rFonts w:ascii="Times New Roman" w:hAnsi="Times New Roman" w:cs="Times New Roman"/>
          <w:sz w:val="24"/>
          <w:szCs w:val="24"/>
        </w:rPr>
        <w:t>is developed</w:t>
      </w:r>
      <w:proofErr w:type="gramEnd"/>
      <w:r w:rsidRPr="00A90241">
        <w:rPr>
          <w:rFonts w:ascii="Times New Roman" w:hAnsi="Times New Roman" w:cs="Times New Roman"/>
          <w:sz w:val="24"/>
          <w:szCs w:val="24"/>
        </w:rPr>
        <w:t xml:space="preserve"> under the leadership of the Chinese Communist Party (“</w:t>
      </w:r>
      <w:r w:rsidRPr="00A90241">
        <w:rPr>
          <w:rFonts w:ascii="Times New Roman" w:hAnsi="Times New Roman" w:cs="Times New Roman"/>
          <w:b/>
          <w:sz w:val="24"/>
          <w:szCs w:val="24"/>
        </w:rPr>
        <w:t>CCP</w:t>
      </w:r>
      <w:r w:rsidRPr="00A90241">
        <w:rPr>
          <w:rFonts w:ascii="Times New Roman" w:hAnsi="Times New Roman" w:cs="Times New Roman"/>
          <w:sz w:val="24"/>
          <w:szCs w:val="24"/>
        </w:rPr>
        <w:t xml:space="preserve">”). The structures of the Chinese State and of the CCP are intertwined at every level (legal, institutional, and personal), forming a superstructure in which the roles of the CCP and the State are indistinguishable. Following an amendment of the Chinese Constitution in March 2018, the leading role of the CCP </w:t>
      </w:r>
      <w:proofErr w:type="gramStart"/>
      <w:r w:rsidRPr="00A90241">
        <w:rPr>
          <w:rFonts w:ascii="Times New Roman" w:hAnsi="Times New Roman" w:cs="Times New Roman"/>
          <w:sz w:val="24"/>
          <w:szCs w:val="24"/>
        </w:rPr>
        <w:t>was given</w:t>
      </w:r>
      <w:proofErr w:type="gramEnd"/>
      <w:r w:rsidRPr="00A90241">
        <w:rPr>
          <w:rFonts w:ascii="Times New Roman" w:hAnsi="Times New Roman" w:cs="Times New Roman"/>
          <w:sz w:val="24"/>
          <w:szCs w:val="24"/>
        </w:rPr>
        <w:t xml:space="preserve"> an even greater prominence by being reaffirmed in the text of Article 1 of the Constitution. In addition to the existing first sentence of the provision: “[t]</w:t>
      </w:r>
      <w:proofErr w:type="gramStart"/>
      <w:r w:rsidRPr="00A90241">
        <w:rPr>
          <w:rFonts w:ascii="Times New Roman" w:hAnsi="Times New Roman" w:cs="Times New Roman"/>
          <w:i/>
          <w:sz w:val="24"/>
          <w:szCs w:val="24"/>
        </w:rPr>
        <w:t>he</w:t>
      </w:r>
      <w:proofErr w:type="gramEnd"/>
      <w:r w:rsidRPr="00A90241">
        <w:rPr>
          <w:rFonts w:ascii="Times New Roman" w:hAnsi="Times New Roman" w:cs="Times New Roman"/>
          <w:i/>
          <w:sz w:val="24"/>
          <w:szCs w:val="24"/>
        </w:rPr>
        <w:t xml:space="preserve"> socialist system is the basic system of the People’s Republic of China</w:t>
      </w:r>
      <w:r w:rsidRPr="00A90241">
        <w:rPr>
          <w:rFonts w:ascii="Times New Roman" w:hAnsi="Times New Roman" w:cs="Times New Roman"/>
          <w:sz w:val="24"/>
          <w:szCs w:val="24"/>
        </w:rPr>
        <w:t>” a new second sentence was inserted which reads: “[t]</w:t>
      </w:r>
      <w:r w:rsidRPr="00A90241">
        <w:rPr>
          <w:rFonts w:ascii="Times New Roman" w:hAnsi="Times New Roman" w:cs="Times New Roman"/>
          <w:i/>
          <w:sz w:val="24"/>
          <w:szCs w:val="24"/>
        </w:rPr>
        <w:t>he defining feature of socialism with Chinese characteristics is the leadership of the Communist Party of China.</w:t>
      </w:r>
      <w:r w:rsidRPr="00A90241">
        <w:rPr>
          <w:rFonts w:ascii="Times New Roman" w:hAnsi="Times New Roman" w:cs="Times New Roman"/>
          <w:sz w:val="24"/>
          <w:szCs w:val="24"/>
        </w:rPr>
        <w:t>”</w:t>
      </w:r>
      <w:r w:rsidRPr="00A90241">
        <w:rPr>
          <w:rFonts w:ascii="Times New Roman" w:hAnsi="Times New Roman" w:cs="Times New Roman"/>
          <w:sz w:val="24"/>
          <w:szCs w:val="24"/>
          <w:vertAlign w:val="superscript"/>
        </w:rPr>
        <w:footnoteReference w:id="3"/>
      </w:r>
      <w:r w:rsidRPr="00A90241">
        <w:rPr>
          <w:rFonts w:ascii="Times New Roman" w:hAnsi="Times New Roman" w:cs="Times New Roman"/>
          <w:sz w:val="24"/>
          <w:szCs w:val="24"/>
        </w:rPr>
        <w:t xml:space="preserve"> This illustrates the unquestioned and ever growing control of the CCP over the economic system of China. This control is inherent to the Chinese system and goes well beyond the situation customary in other countries, where governments exercise broad macroeconomic control, </w:t>
      </w:r>
      <w:r w:rsidRPr="00A90241">
        <w:rPr>
          <w:rFonts w:ascii="Times New Roman" w:hAnsi="Times New Roman" w:cs="Times New Roman"/>
          <w:i/>
          <w:sz w:val="24"/>
          <w:szCs w:val="24"/>
        </w:rPr>
        <w:t>within</w:t>
      </w:r>
      <w:r w:rsidRPr="00A90241">
        <w:rPr>
          <w:rFonts w:ascii="Times New Roman" w:hAnsi="Times New Roman" w:cs="Times New Roman"/>
          <w:sz w:val="24"/>
          <w:szCs w:val="24"/>
        </w:rPr>
        <w:t xml:space="preserve"> the boundaries of which free market forces are at play.</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 Chinese State engages in an interventionist economic policy in pursuance of </w:t>
      </w:r>
      <w:proofErr w:type="gramStart"/>
      <w:r w:rsidRPr="00A90241">
        <w:rPr>
          <w:rFonts w:ascii="Times New Roman" w:hAnsi="Times New Roman" w:cs="Times New Roman"/>
          <w:sz w:val="24"/>
          <w:szCs w:val="24"/>
        </w:rPr>
        <w:t>goals which coincide with the political agenda set by the CCP</w:t>
      </w:r>
      <w:proofErr w:type="gramEnd"/>
      <w:r w:rsidRPr="00A90241">
        <w:rPr>
          <w:rFonts w:ascii="Times New Roman" w:hAnsi="Times New Roman" w:cs="Times New Roman"/>
          <w:sz w:val="24"/>
          <w:szCs w:val="24"/>
        </w:rPr>
        <w:t xml:space="preserve"> rather than reflect the prevailing economic conditions in a free market.</w:t>
      </w:r>
      <w:r w:rsidRPr="00A90241">
        <w:rPr>
          <w:rFonts w:ascii="Times New Roman" w:hAnsi="Times New Roman" w:cs="Times New Roman"/>
          <w:sz w:val="24"/>
          <w:szCs w:val="24"/>
          <w:vertAlign w:val="superscript"/>
        </w:rPr>
        <w:footnoteReference w:id="4"/>
      </w:r>
      <w:r w:rsidRPr="00A90241">
        <w:rPr>
          <w:rFonts w:ascii="Times New Roman" w:hAnsi="Times New Roman" w:cs="Times New Roman"/>
          <w:sz w:val="24"/>
          <w:szCs w:val="24"/>
        </w:rPr>
        <w:t xml:space="preserve"> The interventionist economic tools deployed by the Chinese authorities are manifold, including the system of industrial planning, the financial system, as well as various facets of the regulatory environment.</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First, on the level of overall administrative control, the direction of the Chinese economy is governed by a complex industrial planning </w:t>
      </w:r>
      <w:proofErr w:type="gramStart"/>
      <w:r w:rsidRPr="00A90241">
        <w:rPr>
          <w:rFonts w:ascii="Times New Roman" w:hAnsi="Times New Roman" w:cs="Times New Roman"/>
          <w:sz w:val="24"/>
          <w:szCs w:val="24"/>
        </w:rPr>
        <w:t>system which</w:t>
      </w:r>
      <w:proofErr w:type="gramEnd"/>
      <w:r w:rsidRPr="00A90241">
        <w:rPr>
          <w:rFonts w:ascii="Times New Roman" w:hAnsi="Times New Roman" w:cs="Times New Roman"/>
          <w:sz w:val="24"/>
          <w:szCs w:val="24"/>
        </w:rPr>
        <w:t xml:space="preserve"> affects all economic activities within the country. The totality of these plans cover a comprehensive and complex matrix of sectors and </w:t>
      </w:r>
      <w:proofErr w:type="gramStart"/>
      <w:r w:rsidRPr="00A90241">
        <w:rPr>
          <w:rFonts w:ascii="Times New Roman" w:hAnsi="Times New Roman" w:cs="Times New Roman"/>
          <w:sz w:val="24"/>
          <w:szCs w:val="24"/>
        </w:rPr>
        <w:t>cross-cutting</w:t>
      </w:r>
      <w:proofErr w:type="gramEnd"/>
      <w:r w:rsidRPr="00A90241">
        <w:rPr>
          <w:rFonts w:ascii="Times New Roman" w:hAnsi="Times New Roman" w:cs="Times New Roman"/>
          <w:sz w:val="24"/>
          <w:szCs w:val="24"/>
        </w:rPr>
        <w:t xml:space="preserve"> policies, and is present at all levels of government. Plans at provincial level tend to </w:t>
      </w:r>
      <w:proofErr w:type="gramStart"/>
      <w:r w:rsidRPr="00A90241">
        <w:rPr>
          <w:rFonts w:ascii="Times New Roman" w:hAnsi="Times New Roman" w:cs="Times New Roman"/>
          <w:sz w:val="24"/>
          <w:szCs w:val="24"/>
        </w:rPr>
        <w:t>be fairly detailed</w:t>
      </w:r>
      <w:proofErr w:type="gramEnd"/>
      <w:r w:rsidRPr="00A90241">
        <w:rPr>
          <w:rFonts w:ascii="Times New Roman" w:hAnsi="Times New Roman" w:cs="Times New Roman"/>
          <w:sz w:val="24"/>
          <w:szCs w:val="24"/>
        </w:rPr>
        <w:t xml:space="preserve"> while </w:t>
      </w:r>
      <w:r w:rsidRPr="00A90241">
        <w:rPr>
          <w:rFonts w:ascii="Times New Roman" w:hAnsi="Times New Roman" w:cs="Times New Roman"/>
          <w:sz w:val="24"/>
          <w:szCs w:val="24"/>
        </w:rPr>
        <w:lastRenderedPageBreak/>
        <w:t xml:space="preserve">national plans tend to set somewhat broader targets. Plans also specify the toolbox used to support the relevant industries/sectors, as well as the timeframes in which the objectives need to </w:t>
      </w:r>
      <w:proofErr w:type="gramStart"/>
      <w:r w:rsidRPr="00A90241">
        <w:rPr>
          <w:rFonts w:ascii="Times New Roman" w:hAnsi="Times New Roman" w:cs="Times New Roman"/>
          <w:sz w:val="24"/>
          <w:szCs w:val="24"/>
        </w:rPr>
        <w:t>be achieved</w:t>
      </w:r>
      <w:proofErr w:type="gramEnd"/>
      <w:r w:rsidRPr="00A90241">
        <w:rPr>
          <w:rFonts w:ascii="Times New Roman" w:hAnsi="Times New Roman" w:cs="Times New Roman"/>
          <w:sz w:val="24"/>
          <w:szCs w:val="24"/>
        </w:rPr>
        <w:t xml:space="preserve">. Some plans still contain explicit output targets, while this was a regular feature in previous planning cycles. Under these plans, individual industrial sectors and/or projects </w:t>
      </w:r>
      <w:proofErr w:type="gramStart"/>
      <w:r w:rsidRPr="00A90241">
        <w:rPr>
          <w:rFonts w:ascii="Times New Roman" w:hAnsi="Times New Roman" w:cs="Times New Roman"/>
          <w:sz w:val="24"/>
          <w:szCs w:val="24"/>
        </w:rPr>
        <w:t>are being singled out</w:t>
      </w:r>
      <w:proofErr w:type="gramEnd"/>
      <w:r w:rsidRPr="00A90241">
        <w:rPr>
          <w:rFonts w:ascii="Times New Roman" w:hAnsi="Times New Roman" w:cs="Times New Roman"/>
          <w:sz w:val="24"/>
          <w:szCs w:val="24"/>
        </w:rPr>
        <w:t xml:space="preserve"> as (positive or negative) priorities, in line with the government priorities, and specific development goals are attributed to them (industrial upgrade, international expansion etc.). Economic operators, private and State-owned alike, must effectively adjust their business activities according to the constructed realities imposed by the planning system. This is not only because of the formally binding nature of the plans. Crucially, the relevant Chinese authorities at all levels of government adhere to the system of plans and they use their vested powers accordingly, thereby inducing the economic operators to comply with the priorities set out therein.</w:t>
      </w:r>
      <w:r w:rsidRPr="00A90241">
        <w:rPr>
          <w:rFonts w:ascii="Times New Roman" w:hAnsi="Times New Roman" w:cs="Times New Roman"/>
          <w:sz w:val="24"/>
          <w:szCs w:val="24"/>
          <w:vertAlign w:val="superscript"/>
        </w:rPr>
        <w:footnoteReference w:id="5"/>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Second, on the level of allocation of financial resources, the financial system of China </w:t>
      </w:r>
      <w:proofErr w:type="gramStart"/>
      <w:r w:rsidRPr="00A90241">
        <w:rPr>
          <w:rFonts w:ascii="Times New Roman" w:hAnsi="Times New Roman" w:cs="Times New Roman"/>
          <w:sz w:val="24"/>
          <w:szCs w:val="24"/>
        </w:rPr>
        <w:t>is dominated</w:t>
      </w:r>
      <w:proofErr w:type="gramEnd"/>
      <w:r w:rsidRPr="00A90241">
        <w:rPr>
          <w:rFonts w:ascii="Times New Roman" w:hAnsi="Times New Roman" w:cs="Times New Roman"/>
          <w:sz w:val="24"/>
          <w:szCs w:val="24"/>
        </w:rPr>
        <w:t xml:space="preserve"> by the State-owned commercial banks. Those banks, when setting up and implementing their lending policy, need to align themselves with the Government’s industrial policy objectives rather than primarily asses the economic merits of a given project.</w:t>
      </w:r>
      <w:r w:rsidRPr="00A90241">
        <w:rPr>
          <w:rFonts w:ascii="Times New Roman" w:hAnsi="Times New Roman" w:cs="Times New Roman"/>
          <w:sz w:val="24"/>
          <w:szCs w:val="24"/>
          <w:vertAlign w:val="superscript"/>
        </w:rPr>
        <w:footnoteReference w:id="6"/>
      </w:r>
      <w:r w:rsidRPr="00A90241">
        <w:rPr>
          <w:rFonts w:ascii="Times New Roman" w:hAnsi="Times New Roman" w:cs="Times New Roman"/>
          <w:sz w:val="24"/>
          <w:szCs w:val="24"/>
        </w:rPr>
        <w:t xml:space="preserve"> The same applies to the other components of the Chinese financial system, such as the stock markets, bond markets, private equity markets etc. Even though of lesser significance than the banking sector, these parts of the financial sector are institutionally and operationally set up </w:t>
      </w:r>
      <w:proofErr w:type="gramStart"/>
      <w:r w:rsidRPr="00A90241">
        <w:rPr>
          <w:rFonts w:ascii="Times New Roman" w:hAnsi="Times New Roman" w:cs="Times New Roman"/>
          <w:sz w:val="24"/>
          <w:szCs w:val="24"/>
        </w:rPr>
        <w:t>in</w:t>
      </w:r>
      <w:proofErr w:type="gramEnd"/>
      <w:r w:rsidRPr="00A90241">
        <w:rPr>
          <w:rFonts w:ascii="Times New Roman" w:hAnsi="Times New Roman" w:cs="Times New Roman"/>
          <w:sz w:val="24"/>
          <w:szCs w:val="24"/>
        </w:rPr>
        <w:t xml:space="preserve"> a manner not geared towards maximizing the efficient functioning of the financial markets but towards ensuring control and enabling interventions by the State and the CCP.</w:t>
      </w:r>
      <w:r w:rsidRPr="00A90241">
        <w:rPr>
          <w:rFonts w:ascii="Times New Roman" w:hAnsi="Times New Roman" w:cs="Times New Roman"/>
          <w:sz w:val="24"/>
          <w:szCs w:val="24"/>
          <w:vertAlign w:val="superscript"/>
        </w:rPr>
        <w:footnoteReference w:id="7"/>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Third, on the level of the regulatory environment, the interventions by the State in the economy take a number of forms. For example, the public procurement rules </w:t>
      </w:r>
      <w:proofErr w:type="gramStart"/>
      <w:r w:rsidRPr="00A90241">
        <w:rPr>
          <w:rFonts w:ascii="Times New Roman" w:hAnsi="Times New Roman" w:cs="Times New Roman"/>
          <w:sz w:val="24"/>
          <w:szCs w:val="24"/>
        </w:rPr>
        <w:t>are regularly used</w:t>
      </w:r>
      <w:proofErr w:type="gramEnd"/>
      <w:r w:rsidRPr="00A90241">
        <w:rPr>
          <w:rFonts w:ascii="Times New Roman" w:hAnsi="Times New Roman" w:cs="Times New Roman"/>
          <w:sz w:val="24"/>
          <w:szCs w:val="24"/>
        </w:rPr>
        <w:t xml:space="preserve"> in pursuit of policy goals other than economic efficiency, thereby clearly undermining market based principles in the affected area. The applicable legislation specifically provides that public procurement </w:t>
      </w:r>
      <w:proofErr w:type="gramStart"/>
      <w:r w:rsidRPr="00A90241">
        <w:rPr>
          <w:rFonts w:ascii="Times New Roman" w:hAnsi="Times New Roman" w:cs="Times New Roman"/>
          <w:sz w:val="24"/>
          <w:szCs w:val="24"/>
        </w:rPr>
        <w:t>shall be conducted</w:t>
      </w:r>
      <w:proofErr w:type="gramEnd"/>
      <w:r w:rsidRPr="00A90241">
        <w:rPr>
          <w:rFonts w:ascii="Times New Roman" w:hAnsi="Times New Roman" w:cs="Times New Roman"/>
          <w:sz w:val="24"/>
          <w:szCs w:val="24"/>
        </w:rPr>
        <w:t xml:space="preserve"> in order to facilitate the achievement of goals designed by State policies. However, the nature of these goals remains undefined, thereby leaving broad margin of discretion to the decision-making bodies.</w:t>
      </w:r>
      <w:r w:rsidRPr="00A90241">
        <w:rPr>
          <w:rFonts w:ascii="Times New Roman" w:hAnsi="Times New Roman" w:cs="Times New Roman"/>
          <w:sz w:val="24"/>
          <w:szCs w:val="24"/>
          <w:vertAlign w:val="superscript"/>
        </w:rPr>
        <w:footnoteReference w:id="8"/>
      </w:r>
      <w:r w:rsidRPr="00A90241">
        <w:rPr>
          <w:rFonts w:ascii="Times New Roman" w:hAnsi="Times New Roman" w:cs="Times New Roman"/>
          <w:sz w:val="24"/>
          <w:szCs w:val="24"/>
        </w:rPr>
        <w:t xml:space="preserve"> Similarly, in the area of investments, the Chinese Government maintains significant control and influence over destination and magnitude of both State and private investments. </w:t>
      </w:r>
      <w:proofErr w:type="gramStart"/>
      <w:r w:rsidRPr="00A90241">
        <w:rPr>
          <w:rFonts w:ascii="Times New Roman" w:hAnsi="Times New Roman" w:cs="Times New Roman"/>
          <w:sz w:val="24"/>
          <w:szCs w:val="24"/>
        </w:rPr>
        <w:t>Investment screening as well as various incentives, restrictions, and prohibitions related to investments are used by authorities</w:t>
      </w:r>
      <w:proofErr w:type="gramEnd"/>
      <w:r w:rsidRPr="00A90241">
        <w:rPr>
          <w:rFonts w:ascii="Times New Roman" w:hAnsi="Times New Roman" w:cs="Times New Roman"/>
          <w:sz w:val="24"/>
          <w:szCs w:val="24"/>
        </w:rPr>
        <w:t xml:space="preserve"> as an important tool for supporting industrial policy goals, such as maintaining State control over key sectors or bolstering domestic industries.</w:t>
      </w:r>
      <w:r w:rsidRPr="00A90241">
        <w:rPr>
          <w:rFonts w:ascii="Times New Roman" w:hAnsi="Times New Roman" w:cs="Times New Roman"/>
          <w:sz w:val="24"/>
          <w:szCs w:val="24"/>
          <w:vertAlign w:val="superscript"/>
        </w:rPr>
        <w:footnoteReference w:id="9"/>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In sum, the Chinese economic model </w:t>
      </w:r>
      <w:proofErr w:type="gramStart"/>
      <w:r w:rsidRPr="00A90241">
        <w:rPr>
          <w:rFonts w:ascii="Times New Roman" w:hAnsi="Times New Roman" w:cs="Times New Roman"/>
          <w:sz w:val="24"/>
          <w:szCs w:val="24"/>
        </w:rPr>
        <w:t>is based</w:t>
      </w:r>
      <w:proofErr w:type="gramEnd"/>
      <w:r w:rsidRPr="00A90241">
        <w:rPr>
          <w:rFonts w:ascii="Times New Roman" w:hAnsi="Times New Roman" w:cs="Times New Roman"/>
          <w:sz w:val="24"/>
          <w:szCs w:val="24"/>
        </w:rPr>
        <w:t xml:space="preserve"> on certain basic axioms, which provide for and encourage many types of government interventions. Such substantial government interventions are at odds with the free play of market forces, resulting in a distortion of the effective allocation of resources in line with market principles.</w:t>
      </w:r>
      <w:r w:rsidRPr="00A90241">
        <w:rPr>
          <w:rFonts w:ascii="Times New Roman" w:hAnsi="Times New Roman" w:cs="Times New Roman"/>
          <w:sz w:val="24"/>
          <w:szCs w:val="24"/>
          <w:vertAlign w:val="superscript"/>
        </w:rPr>
        <w:footnoteReference w:id="10"/>
      </w:r>
    </w:p>
    <w:p w:rsidR="00A90241" w:rsidRPr="00A90241" w:rsidRDefault="00A90241" w:rsidP="00A90241">
      <w:pPr>
        <w:numPr>
          <w:ilvl w:val="0"/>
          <w:numId w:val="1"/>
        </w:numPr>
        <w:spacing w:before="240" w:after="0" w:line="240" w:lineRule="auto"/>
        <w:jc w:val="both"/>
        <w:rPr>
          <w:rFonts w:ascii="Times New Roman" w:hAnsi="Times New Roman" w:cs="Times New Roman"/>
          <w:i/>
          <w:sz w:val="24"/>
          <w:szCs w:val="24"/>
        </w:rPr>
      </w:pPr>
      <w:r w:rsidRPr="00A90241">
        <w:rPr>
          <w:rFonts w:ascii="Times New Roman" w:hAnsi="Times New Roman" w:cs="Times New Roman"/>
          <w:sz w:val="24"/>
          <w:szCs w:val="24"/>
        </w:rPr>
        <w:lastRenderedPageBreak/>
        <w:t>All available facts point to the conclusion that the criteria spelled out in Article 2(6a</w:t>
      </w:r>
      <w:proofErr w:type="gramStart"/>
      <w:r w:rsidRPr="00A90241">
        <w:rPr>
          <w:rFonts w:ascii="Times New Roman" w:hAnsi="Times New Roman" w:cs="Times New Roman"/>
          <w:sz w:val="24"/>
          <w:szCs w:val="24"/>
        </w:rPr>
        <w:t>)(</w:t>
      </w:r>
      <w:proofErr w:type="gramEnd"/>
      <w:r w:rsidRPr="00A90241">
        <w:rPr>
          <w:rFonts w:ascii="Times New Roman" w:hAnsi="Times New Roman" w:cs="Times New Roman"/>
          <w:sz w:val="24"/>
          <w:szCs w:val="24"/>
        </w:rPr>
        <w:t xml:space="preserve">b) of the Basic Regulation are met, and that significant distortions exist in China, particularly in its steel market. </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Against the background of State intervention and dominance of State ownership in the Chinese economic model, State-owned enterprises (“</w:t>
      </w:r>
      <w:r w:rsidRPr="00A90241">
        <w:rPr>
          <w:rFonts w:ascii="Times New Roman" w:hAnsi="Times New Roman" w:cs="Times New Roman"/>
          <w:b/>
          <w:sz w:val="24"/>
          <w:szCs w:val="24"/>
        </w:rPr>
        <w:t>SOEs</w:t>
      </w:r>
      <w:r w:rsidRPr="00A90241">
        <w:rPr>
          <w:rFonts w:ascii="Times New Roman" w:hAnsi="Times New Roman" w:cs="Times New Roman"/>
          <w:sz w:val="24"/>
          <w:szCs w:val="24"/>
        </w:rPr>
        <w:t xml:space="preserve">”) represent an essential part of the Chinese economy. The Government and the CCP maintain structures that ensure their continued influence over SOEs. The State party not only actively formulates and oversees the implementation of general economic policies by individual SOEs, but it also claims its rights to participate in operational decision-making in SOEs. This </w:t>
      </w:r>
      <w:proofErr w:type="gramStart"/>
      <w:r w:rsidRPr="00A90241">
        <w:rPr>
          <w:rFonts w:ascii="Times New Roman" w:hAnsi="Times New Roman" w:cs="Times New Roman"/>
          <w:sz w:val="24"/>
          <w:szCs w:val="24"/>
        </w:rPr>
        <w:t>is typically done</w:t>
      </w:r>
      <w:proofErr w:type="gramEnd"/>
      <w:r w:rsidRPr="00A90241">
        <w:rPr>
          <w:rFonts w:ascii="Times New Roman" w:hAnsi="Times New Roman" w:cs="Times New Roman"/>
          <w:sz w:val="24"/>
          <w:szCs w:val="24"/>
        </w:rPr>
        <w:t xml:space="preserve"> through the rotation of cadres between government authorities and SOEs, through presence of party members in SOEs executive bodies and of party cells in companies, as well as by shaping the corporate structure of the SOE sector.</w:t>
      </w:r>
      <w:r w:rsidRPr="00A90241">
        <w:rPr>
          <w:rFonts w:ascii="Times New Roman" w:hAnsi="Times New Roman" w:cs="Times New Roman"/>
          <w:sz w:val="24"/>
          <w:szCs w:val="24"/>
          <w:vertAlign w:val="superscript"/>
        </w:rPr>
        <w:footnoteReference w:id="11"/>
      </w:r>
      <w:r w:rsidRPr="00A90241">
        <w:rPr>
          <w:rFonts w:ascii="Times New Roman" w:hAnsi="Times New Roman" w:cs="Times New Roman"/>
          <w:sz w:val="24"/>
          <w:szCs w:val="24"/>
        </w:rPr>
        <w:t xml:space="preserve"> In exchange, SOEs enjoy a particular status within the Chinese economy. This status entails a number of economic benefits, in particular the shielding from competition and the preferential access to relevant inputs, including financing.</w:t>
      </w:r>
      <w:r w:rsidRPr="00A90241">
        <w:rPr>
          <w:rFonts w:ascii="Times New Roman" w:hAnsi="Times New Roman" w:cs="Times New Roman"/>
          <w:sz w:val="24"/>
          <w:szCs w:val="24"/>
          <w:vertAlign w:val="superscript"/>
        </w:rPr>
        <w:footnoteReference w:id="12"/>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An OECD Report shows state assets increased most in competitive industries. Higher </w:t>
      </w:r>
      <w:proofErr w:type="gramStart"/>
      <w:r w:rsidRPr="00A90241">
        <w:rPr>
          <w:rFonts w:ascii="Times New Roman" w:hAnsi="Times New Roman" w:cs="Times New Roman"/>
          <w:sz w:val="24"/>
          <w:szCs w:val="24"/>
        </w:rPr>
        <w:t>leverage</w:t>
      </w:r>
      <w:proofErr w:type="gramEnd"/>
      <w:r w:rsidRPr="00A90241">
        <w:rPr>
          <w:rFonts w:ascii="Times New Roman" w:hAnsi="Times New Roman" w:cs="Times New Roman"/>
          <w:sz w:val="24"/>
          <w:szCs w:val="24"/>
        </w:rPr>
        <w:t xml:space="preserve"> and labour productivity conduct to a surge in SOE debt, triggered by falling interest costs. This illustrates how easy monetary conditions can lead to a rapid SOE debt accumulation</w:t>
      </w:r>
      <w:r w:rsidRPr="00A90241">
        <w:rPr>
          <w:rStyle w:val="FootnoteReference"/>
          <w:rFonts w:ascii="Times New Roman" w:hAnsi="Times New Roman" w:cs="Times New Roman"/>
          <w:sz w:val="24"/>
          <w:szCs w:val="24"/>
        </w:rPr>
        <w:footnoteReference w:id="13"/>
      </w:r>
      <w:r w:rsidRPr="00A90241">
        <w:rPr>
          <w:rFonts w:ascii="Times New Roman" w:hAnsi="Times New Roman" w:cs="Times New Roman"/>
          <w:sz w:val="24"/>
          <w:szCs w:val="24"/>
        </w:rPr>
        <w:t xml:space="preserve">. </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Specifically in the steel sector, a substantial degree of ownership by the Chinese Government persists. While the nominal split between the number of SOEs and privately owned companies </w:t>
      </w:r>
      <w:proofErr w:type="gramStart"/>
      <w:r w:rsidRPr="00A90241">
        <w:rPr>
          <w:rFonts w:ascii="Times New Roman" w:hAnsi="Times New Roman" w:cs="Times New Roman"/>
          <w:sz w:val="24"/>
          <w:szCs w:val="24"/>
        </w:rPr>
        <w:t>is estimated</w:t>
      </w:r>
      <w:proofErr w:type="gramEnd"/>
      <w:r w:rsidRPr="00A90241">
        <w:rPr>
          <w:rFonts w:ascii="Times New Roman" w:hAnsi="Times New Roman" w:cs="Times New Roman"/>
          <w:sz w:val="24"/>
          <w:szCs w:val="24"/>
        </w:rPr>
        <w:t xml:space="preserve"> to be almost even, of the five Chinese steel producers ranked in the top ten of the world’s largest steel producers, four are SOEs.</w:t>
      </w:r>
      <w:r w:rsidRPr="00A90241">
        <w:rPr>
          <w:rFonts w:ascii="Times New Roman" w:hAnsi="Times New Roman" w:cs="Times New Roman"/>
          <w:sz w:val="24"/>
          <w:szCs w:val="24"/>
          <w:vertAlign w:val="superscript"/>
        </w:rPr>
        <w:footnoteReference w:id="14"/>
      </w:r>
      <w:r w:rsidRPr="00A90241">
        <w:rPr>
          <w:rFonts w:ascii="Times New Roman" w:hAnsi="Times New Roman" w:cs="Times New Roman"/>
          <w:sz w:val="24"/>
          <w:szCs w:val="24"/>
        </w:rPr>
        <w:t xml:space="preserve"> At the same time, while the top ten producers only took up some 36% of total industry output in 2016, the Chinese Government is aiming to consolidate 60% to 70% of the iron and steel production to around ten large-scale enterprises by 2025. </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With the high level of government intervention in the steel industry and a high share of SOEs in the sector, even privately owned steel producers </w:t>
      </w:r>
      <w:proofErr w:type="gramStart"/>
      <w:r w:rsidRPr="00A90241">
        <w:rPr>
          <w:rFonts w:ascii="Times New Roman" w:hAnsi="Times New Roman" w:cs="Times New Roman"/>
          <w:sz w:val="24"/>
          <w:szCs w:val="24"/>
        </w:rPr>
        <w:t>are prevented</w:t>
      </w:r>
      <w:proofErr w:type="gramEnd"/>
      <w:r w:rsidRPr="00A90241">
        <w:rPr>
          <w:rFonts w:ascii="Times New Roman" w:hAnsi="Times New Roman" w:cs="Times New Roman"/>
          <w:sz w:val="24"/>
          <w:szCs w:val="24"/>
        </w:rPr>
        <w:t xml:space="preserve"> from operating under market conditions. Indeed, both public and privately owned enterprises in the steel sector are also subject to policy supervision and guidance as explained below in this submission.</w:t>
      </w:r>
    </w:p>
    <w:p w:rsidR="00A90241" w:rsidRPr="00A90241" w:rsidRDefault="00A90241" w:rsidP="00A90241">
      <w:pPr>
        <w:pStyle w:val="Heading5"/>
        <w:numPr>
          <w:ilvl w:val="5"/>
          <w:numId w:val="3"/>
        </w:numPr>
        <w:ind w:left="709" w:firstLine="0"/>
        <w:rPr>
          <w:i/>
          <w:szCs w:val="24"/>
        </w:rPr>
      </w:pPr>
      <w:bookmarkStart w:id="2" w:name="_Toc92196607"/>
      <w:r w:rsidRPr="00A90241">
        <w:rPr>
          <w:i/>
          <w:szCs w:val="24"/>
        </w:rPr>
        <w:t>State presence in firms allowing the State to interfere with respect to prices or costs</w:t>
      </w:r>
      <w:bookmarkEnd w:id="2"/>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Apart from exercising control over the economy by means of ownership of SOEs and other tools, the Chinese State is in the position to interfere with prices and costs through State presence in firms. While the right to appoint and to remove key management personnel in SOEs by the relevant State authorities (as provided for in Chinese legislation) can be considered to reflect the corresponding ownership rights,</w:t>
      </w:r>
      <w:r w:rsidRPr="00A90241">
        <w:rPr>
          <w:rFonts w:ascii="Times New Roman" w:hAnsi="Times New Roman" w:cs="Times New Roman"/>
          <w:sz w:val="24"/>
          <w:szCs w:val="24"/>
          <w:vertAlign w:val="superscript"/>
        </w:rPr>
        <w:footnoteReference w:id="15"/>
      </w:r>
      <w:r w:rsidRPr="00A90241">
        <w:rPr>
          <w:rFonts w:ascii="Times New Roman" w:hAnsi="Times New Roman" w:cs="Times New Roman"/>
          <w:sz w:val="24"/>
          <w:szCs w:val="24"/>
        </w:rPr>
        <w:t xml:space="preserve"> the CCP </w:t>
      </w:r>
      <w:r w:rsidRPr="00A90241">
        <w:rPr>
          <w:rFonts w:ascii="Times New Roman" w:hAnsi="Times New Roman" w:cs="Times New Roman"/>
          <w:sz w:val="24"/>
          <w:szCs w:val="24"/>
        </w:rPr>
        <w:lastRenderedPageBreak/>
        <w:t xml:space="preserve">cells in enterprises, state-owned and private alike, represent another channel through which the State can interfere with business decisions. According to China’s company law, a CCP organisation is to </w:t>
      </w:r>
      <w:proofErr w:type="gramStart"/>
      <w:r w:rsidRPr="00A90241">
        <w:rPr>
          <w:rFonts w:ascii="Times New Roman" w:hAnsi="Times New Roman" w:cs="Times New Roman"/>
          <w:sz w:val="24"/>
          <w:szCs w:val="24"/>
        </w:rPr>
        <w:t>be established</w:t>
      </w:r>
      <w:proofErr w:type="gramEnd"/>
      <w:r w:rsidRPr="00A90241">
        <w:rPr>
          <w:rFonts w:ascii="Times New Roman" w:hAnsi="Times New Roman" w:cs="Times New Roman"/>
          <w:sz w:val="24"/>
          <w:szCs w:val="24"/>
        </w:rPr>
        <w:t xml:space="preserve"> in </w:t>
      </w:r>
      <w:r w:rsidRPr="00A90241">
        <w:rPr>
          <w:rFonts w:ascii="Times New Roman" w:hAnsi="Times New Roman" w:cs="Times New Roman"/>
          <w:i/>
          <w:sz w:val="24"/>
          <w:szCs w:val="24"/>
        </w:rPr>
        <w:t>every</w:t>
      </w:r>
      <w:r w:rsidRPr="00A90241">
        <w:rPr>
          <w:rFonts w:ascii="Times New Roman" w:hAnsi="Times New Roman" w:cs="Times New Roman"/>
          <w:sz w:val="24"/>
          <w:szCs w:val="24"/>
        </w:rPr>
        <w:t xml:space="preserve"> company and the company is to provide the necessary conditions for the activities of the Party organisation. In the past, this requirement appears to have not always been </w:t>
      </w:r>
      <w:proofErr w:type="gramStart"/>
      <w:r w:rsidRPr="00A90241">
        <w:rPr>
          <w:rFonts w:ascii="Times New Roman" w:hAnsi="Times New Roman" w:cs="Times New Roman"/>
          <w:sz w:val="24"/>
          <w:szCs w:val="24"/>
        </w:rPr>
        <w:t>followed</w:t>
      </w:r>
      <w:proofErr w:type="gramEnd"/>
      <w:r w:rsidRPr="00A90241">
        <w:rPr>
          <w:rFonts w:ascii="Times New Roman" w:hAnsi="Times New Roman" w:cs="Times New Roman"/>
          <w:sz w:val="24"/>
          <w:szCs w:val="24"/>
        </w:rPr>
        <w:t xml:space="preserve"> or strictly enforced. However, since at least 2016, the CCP has reinforced its claim to control business decisions in SOEs as a matter of political principle. The CCP </w:t>
      </w:r>
      <w:proofErr w:type="gramStart"/>
      <w:r w:rsidRPr="00A90241">
        <w:rPr>
          <w:rFonts w:ascii="Times New Roman" w:hAnsi="Times New Roman" w:cs="Times New Roman"/>
          <w:sz w:val="24"/>
          <w:szCs w:val="24"/>
        </w:rPr>
        <w:t>is also reported</w:t>
      </w:r>
      <w:proofErr w:type="gramEnd"/>
      <w:r w:rsidRPr="00A90241">
        <w:rPr>
          <w:rFonts w:ascii="Times New Roman" w:hAnsi="Times New Roman" w:cs="Times New Roman"/>
          <w:sz w:val="24"/>
          <w:szCs w:val="24"/>
        </w:rPr>
        <w:t xml:space="preserve"> to exercise pressure on private companies to put ‘patriotism’ first and to follow Party discipline.</w:t>
      </w:r>
      <w:r w:rsidRPr="00A90241">
        <w:rPr>
          <w:rFonts w:ascii="Times New Roman" w:hAnsi="Times New Roman" w:cs="Times New Roman"/>
          <w:sz w:val="24"/>
          <w:szCs w:val="24"/>
          <w:vertAlign w:val="superscript"/>
        </w:rPr>
        <w:footnoteReference w:id="16"/>
      </w:r>
      <w:r w:rsidRPr="00A90241">
        <w:rPr>
          <w:rFonts w:ascii="Times New Roman" w:hAnsi="Times New Roman" w:cs="Times New Roman"/>
          <w:sz w:val="24"/>
          <w:szCs w:val="24"/>
        </w:rPr>
        <w:t xml:space="preserve"> In 2017, it </w:t>
      </w:r>
      <w:proofErr w:type="gramStart"/>
      <w:r w:rsidRPr="00A90241">
        <w:rPr>
          <w:rFonts w:ascii="Times New Roman" w:hAnsi="Times New Roman" w:cs="Times New Roman"/>
          <w:sz w:val="24"/>
          <w:szCs w:val="24"/>
        </w:rPr>
        <w:t>was reported</w:t>
      </w:r>
      <w:proofErr w:type="gramEnd"/>
      <w:r w:rsidRPr="00A90241">
        <w:rPr>
          <w:rFonts w:ascii="Times New Roman" w:hAnsi="Times New Roman" w:cs="Times New Roman"/>
          <w:sz w:val="24"/>
          <w:szCs w:val="24"/>
        </w:rPr>
        <w:t xml:space="preserve"> that Party cells existed in 70% of some 1.86 million privately owned companies, with growing pressure from the CCP organisations to have the final say over business decision within their respective companies. These rules apply in general in the Chinese economy, including to the producers of HRFS.</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Furthermore, the State’s presence and intervention in financial markets as well as in the provision of raw materials and inputs have a further distorting effect on the market.</w:t>
      </w:r>
      <w:r w:rsidRPr="00A90241">
        <w:rPr>
          <w:rFonts w:ascii="Times New Roman" w:hAnsi="Times New Roman" w:cs="Times New Roman"/>
          <w:sz w:val="24"/>
          <w:szCs w:val="24"/>
          <w:vertAlign w:val="superscript"/>
        </w:rPr>
        <w:footnoteReference w:id="17"/>
      </w:r>
      <w:r w:rsidRPr="00A90241">
        <w:rPr>
          <w:rFonts w:ascii="Times New Roman" w:hAnsi="Times New Roman" w:cs="Times New Roman"/>
          <w:sz w:val="24"/>
          <w:szCs w:val="24"/>
        </w:rPr>
        <w:t xml:space="preserve"> Thus, the State presence in firms, including SOEs, in the steel and other sectors (such as the financial and input sectors) allow the Chinese Government to interfere with respect to prices and costs.</w:t>
      </w:r>
    </w:p>
    <w:p w:rsidR="00A90241" w:rsidRPr="00A90241" w:rsidRDefault="00A90241" w:rsidP="00A90241">
      <w:pPr>
        <w:pStyle w:val="Heading5"/>
        <w:numPr>
          <w:ilvl w:val="5"/>
          <w:numId w:val="3"/>
        </w:numPr>
        <w:tabs>
          <w:tab w:val="clear" w:pos="1571"/>
        </w:tabs>
        <w:ind w:left="709" w:firstLine="0"/>
        <w:rPr>
          <w:i/>
          <w:szCs w:val="24"/>
        </w:rPr>
      </w:pPr>
      <w:bookmarkStart w:id="3" w:name="_Toc92196608"/>
      <w:r w:rsidRPr="00A90241">
        <w:rPr>
          <w:i/>
          <w:szCs w:val="24"/>
        </w:rPr>
        <w:t>Public policies or measures discriminating in favour of domestic suppliers or otherwise influencing free market forces</w:t>
      </w:r>
      <w:bookmarkEnd w:id="3"/>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 direction of the Chinese economy is to a significant degree determined by an elaborate system of planning which sets out priorities and prescribes the goals the central and local governments must focus on. Relevant plans exist at all levels of government and cover virtually all economic sectors, the objectives set by the planning instruments are of binding nature, and the authorities at each administrative level monitor the implementation of the plans by the corresponding lower level of government. Overall, the economic planning system in China results in resources </w:t>
      </w:r>
      <w:proofErr w:type="gramStart"/>
      <w:r w:rsidRPr="00A90241">
        <w:rPr>
          <w:rFonts w:ascii="Times New Roman" w:hAnsi="Times New Roman" w:cs="Times New Roman"/>
          <w:sz w:val="24"/>
          <w:szCs w:val="24"/>
        </w:rPr>
        <w:t>being channelled</w:t>
      </w:r>
      <w:proofErr w:type="gramEnd"/>
      <w:r w:rsidRPr="00A90241">
        <w:rPr>
          <w:rFonts w:ascii="Times New Roman" w:hAnsi="Times New Roman" w:cs="Times New Roman"/>
          <w:sz w:val="24"/>
          <w:szCs w:val="24"/>
        </w:rPr>
        <w:t xml:space="preserve"> to sectors designated as strategic or otherwise politically important by the Government, rather than being allocated through market forces.</w:t>
      </w:r>
      <w:r w:rsidRPr="00A90241">
        <w:rPr>
          <w:rFonts w:ascii="Times New Roman" w:hAnsi="Times New Roman" w:cs="Times New Roman"/>
          <w:sz w:val="24"/>
          <w:szCs w:val="24"/>
          <w:vertAlign w:val="superscript"/>
        </w:rPr>
        <w:footnoteReference w:id="18"/>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 </w:t>
      </w:r>
      <w:proofErr w:type="gramStart"/>
      <w:r w:rsidRPr="00A90241">
        <w:rPr>
          <w:rFonts w:ascii="Times New Roman" w:hAnsi="Times New Roman" w:cs="Times New Roman"/>
          <w:sz w:val="24"/>
          <w:szCs w:val="24"/>
        </w:rPr>
        <w:t>steel industry is regarded as a key industry by the Chinese Government</w:t>
      </w:r>
      <w:proofErr w:type="gramEnd"/>
      <w:r w:rsidRPr="00A90241">
        <w:rPr>
          <w:rFonts w:ascii="Times New Roman" w:hAnsi="Times New Roman" w:cs="Times New Roman"/>
          <w:sz w:val="24"/>
          <w:szCs w:val="24"/>
        </w:rPr>
        <w:t>.</w:t>
      </w:r>
      <w:r w:rsidRPr="00A90241">
        <w:rPr>
          <w:rFonts w:ascii="Times New Roman" w:hAnsi="Times New Roman" w:cs="Times New Roman"/>
          <w:sz w:val="24"/>
          <w:szCs w:val="24"/>
          <w:vertAlign w:val="superscript"/>
        </w:rPr>
        <w:footnoteReference w:id="19"/>
      </w:r>
      <w:r w:rsidRPr="00A90241">
        <w:rPr>
          <w:rFonts w:ascii="Times New Roman" w:hAnsi="Times New Roman" w:cs="Times New Roman"/>
          <w:sz w:val="24"/>
          <w:szCs w:val="24"/>
        </w:rPr>
        <w:t xml:space="preserve"> </w:t>
      </w:r>
      <w:proofErr w:type="gramStart"/>
      <w:r w:rsidRPr="00A90241">
        <w:rPr>
          <w:rFonts w:ascii="Times New Roman" w:hAnsi="Times New Roman" w:cs="Times New Roman"/>
          <w:sz w:val="24"/>
          <w:szCs w:val="24"/>
        </w:rPr>
        <w:t xml:space="preserve">This is confirmed by the numerous plans, directives and other documents focusing on steel, which are issued at national, regional and municipal level such as the </w:t>
      </w:r>
      <w:r w:rsidRPr="00A90241">
        <w:rPr>
          <w:rFonts w:ascii="Times New Roman" w:hAnsi="Times New Roman" w:cs="Times New Roman"/>
          <w:i/>
          <w:sz w:val="24"/>
          <w:szCs w:val="24"/>
        </w:rPr>
        <w:t>Steel Industry Adjustment and Upgrading plan for 2016-2020</w:t>
      </w:r>
      <w:proofErr w:type="gramEnd"/>
      <w:r w:rsidRPr="00A90241">
        <w:rPr>
          <w:rFonts w:ascii="Times New Roman" w:hAnsi="Times New Roman" w:cs="Times New Roman"/>
          <w:sz w:val="24"/>
          <w:szCs w:val="24"/>
        </w:rPr>
        <w:t>. This plan states that the steel industry is “</w:t>
      </w:r>
      <w:r w:rsidRPr="00A90241">
        <w:rPr>
          <w:rFonts w:ascii="Times New Roman" w:hAnsi="Times New Roman" w:cs="Times New Roman"/>
          <w:i/>
          <w:sz w:val="24"/>
          <w:szCs w:val="24"/>
        </w:rPr>
        <w:t>an important, fundamental sector of the Chinese economy, a national cornerstone.</w:t>
      </w:r>
      <w:r w:rsidRPr="00A90241">
        <w:rPr>
          <w:rFonts w:ascii="Times New Roman" w:hAnsi="Times New Roman" w:cs="Times New Roman"/>
          <w:sz w:val="24"/>
          <w:szCs w:val="24"/>
        </w:rPr>
        <w:t>”</w:t>
      </w:r>
      <w:r w:rsidRPr="00A90241">
        <w:rPr>
          <w:rFonts w:ascii="Times New Roman" w:hAnsi="Times New Roman" w:cs="Times New Roman"/>
          <w:sz w:val="24"/>
          <w:szCs w:val="24"/>
          <w:vertAlign w:val="superscript"/>
        </w:rPr>
        <w:footnoteReference w:id="20"/>
      </w:r>
      <w:r w:rsidRPr="00A90241">
        <w:rPr>
          <w:rFonts w:ascii="Times New Roman" w:hAnsi="Times New Roman" w:cs="Times New Roman"/>
          <w:sz w:val="24"/>
          <w:szCs w:val="24"/>
        </w:rPr>
        <w:t xml:space="preserve"> The main tasks and objectives set out in this plan cover all aspects of the industrial development of the sector.</w:t>
      </w:r>
      <w:r w:rsidRPr="00A90241">
        <w:rPr>
          <w:rFonts w:ascii="Times New Roman" w:hAnsi="Times New Roman" w:cs="Times New Roman"/>
          <w:sz w:val="24"/>
          <w:szCs w:val="24"/>
          <w:vertAlign w:val="superscript"/>
        </w:rPr>
        <w:footnoteReference w:id="21"/>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 </w:t>
      </w:r>
      <w:r w:rsidRPr="00A90241">
        <w:rPr>
          <w:rFonts w:ascii="Times New Roman" w:hAnsi="Times New Roman" w:cs="Times New Roman"/>
          <w:i/>
          <w:sz w:val="24"/>
          <w:szCs w:val="24"/>
        </w:rPr>
        <w:t>Catalogue for Guiding Industry Restructuring (2011 Version) (2013 Amendment)</w:t>
      </w:r>
      <w:r w:rsidRPr="00A90241">
        <w:rPr>
          <w:rFonts w:ascii="Times New Roman" w:hAnsi="Times New Roman" w:cs="Times New Roman"/>
          <w:sz w:val="24"/>
          <w:szCs w:val="24"/>
          <w:vertAlign w:val="superscript"/>
        </w:rPr>
        <w:footnoteReference w:id="22"/>
      </w:r>
      <w:r w:rsidRPr="00A90241">
        <w:rPr>
          <w:rFonts w:ascii="Times New Roman" w:hAnsi="Times New Roman" w:cs="Times New Roman"/>
          <w:sz w:val="24"/>
          <w:szCs w:val="24"/>
        </w:rPr>
        <w:t xml:space="preserve"> (the “</w:t>
      </w:r>
      <w:r w:rsidRPr="00A90241">
        <w:rPr>
          <w:rFonts w:ascii="Times New Roman" w:hAnsi="Times New Roman" w:cs="Times New Roman"/>
          <w:b/>
          <w:sz w:val="24"/>
          <w:szCs w:val="24"/>
        </w:rPr>
        <w:t>Catalogue</w:t>
      </w:r>
      <w:r w:rsidRPr="00A90241">
        <w:rPr>
          <w:rFonts w:ascii="Times New Roman" w:hAnsi="Times New Roman" w:cs="Times New Roman"/>
          <w:sz w:val="24"/>
          <w:szCs w:val="24"/>
        </w:rPr>
        <w:t>”) lists iron and steel as particularly supported industries. In particular, the Catalogue encourages the:</w:t>
      </w:r>
    </w:p>
    <w:p w:rsidR="00A90241" w:rsidRPr="00A90241" w:rsidRDefault="00A90241" w:rsidP="00A90241">
      <w:pPr>
        <w:spacing w:before="240"/>
        <w:ind w:left="720"/>
        <w:jc w:val="both"/>
        <w:rPr>
          <w:rFonts w:ascii="Times New Roman" w:hAnsi="Times New Roman" w:cs="Times New Roman"/>
          <w:sz w:val="24"/>
          <w:szCs w:val="24"/>
        </w:rPr>
      </w:pPr>
      <w:proofErr w:type="gramStart"/>
      <w:r w:rsidRPr="00A90241">
        <w:rPr>
          <w:rFonts w:ascii="Times New Roman" w:hAnsi="Times New Roman" w:cs="Times New Roman"/>
          <w:sz w:val="24"/>
          <w:szCs w:val="24"/>
        </w:rPr>
        <w:lastRenderedPageBreak/>
        <w:t>“[d]</w:t>
      </w:r>
      <w:proofErr w:type="spellStart"/>
      <w:r w:rsidRPr="00A90241">
        <w:rPr>
          <w:rFonts w:ascii="Times New Roman" w:hAnsi="Times New Roman" w:cs="Times New Roman"/>
          <w:i/>
          <w:sz w:val="24"/>
          <w:szCs w:val="24"/>
        </w:rPr>
        <w:t>evelopment</w:t>
      </w:r>
      <w:proofErr w:type="spellEnd"/>
      <w:r w:rsidRPr="00A90241">
        <w:rPr>
          <w:rFonts w:ascii="Times New Roman" w:hAnsi="Times New Roman" w:cs="Times New Roman"/>
          <w:i/>
          <w:sz w:val="24"/>
          <w:szCs w:val="24"/>
        </w:rPr>
        <w:t xml:space="preserve"> and application of technologies for higher-performance, high-quality, and upgrading steel products, including but not limited to high-strength automobile sheets of not less than 600 MPa, high performance pipeline steel for oil and gas transmission, high-strength wide and thick plates for vessels, marine engineering steel, moderate thickness plates of not less than 420 MPa for buildings, bridges and other structures, steel for high-speed and heavy-haul railways, low-iron loss and high-magnetic induction silicon steel, corrosion- and wear-resistance steel, alloy resource-saving stainless steel (modern </w:t>
      </w:r>
      <w:proofErr w:type="spellStart"/>
      <w:r w:rsidRPr="00A90241">
        <w:rPr>
          <w:rFonts w:ascii="Times New Roman" w:hAnsi="Times New Roman" w:cs="Times New Roman"/>
          <w:i/>
          <w:sz w:val="24"/>
          <w:szCs w:val="24"/>
        </w:rPr>
        <w:t>ferritic</w:t>
      </w:r>
      <w:proofErr w:type="spellEnd"/>
      <w:r w:rsidRPr="00A90241">
        <w:rPr>
          <w:rFonts w:ascii="Times New Roman" w:hAnsi="Times New Roman" w:cs="Times New Roman"/>
          <w:i/>
          <w:sz w:val="24"/>
          <w:szCs w:val="24"/>
        </w:rPr>
        <w:t xml:space="preserve"> stainless steel, duplex stainless steel, and nitrogen stainless steel), special steel bars and wire rods for high-performance basic parts (high-performance gears, bolts at or above Grade 12.9, high-strength spring, and long service life bearings), and high-quality special steel forged materials (tool and mould steel, stainless steel, and steel for machinery, among others).</w:t>
      </w:r>
      <w:r w:rsidRPr="00A90241">
        <w:rPr>
          <w:rFonts w:ascii="Times New Roman" w:hAnsi="Times New Roman" w:cs="Times New Roman"/>
          <w:sz w:val="24"/>
          <w:szCs w:val="24"/>
        </w:rPr>
        <w:t>”</w:t>
      </w:r>
      <w:proofErr w:type="gramEnd"/>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 applicability of the Catalogue </w:t>
      </w:r>
      <w:proofErr w:type="gramStart"/>
      <w:r w:rsidRPr="00A90241">
        <w:rPr>
          <w:rFonts w:ascii="Times New Roman" w:hAnsi="Times New Roman" w:cs="Times New Roman"/>
          <w:sz w:val="24"/>
          <w:szCs w:val="24"/>
        </w:rPr>
        <w:t>was confirmed</w:t>
      </w:r>
      <w:proofErr w:type="gramEnd"/>
      <w:r w:rsidRPr="00A90241">
        <w:rPr>
          <w:rFonts w:ascii="Times New Roman" w:hAnsi="Times New Roman" w:cs="Times New Roman"/>
          <w:sz w:val="24"/>
          <w:szCs w:val="24"/>
        </w:rPr>
        <w:t xml:space="preserve"> by the anti-subsidy investigation of HRFS originating in China,</w:t>
      </w:r>
      <w:r w:rsidRPr="00A90241">
        <w:rPr>
          <w:rFonts w:ascii="Times New Roman" w:hAnsi="Times New Roman" w:cs="Times New Roman"/>
          <w:sz w:val="24"/>
          <w:szCs w:val="24"/>
          <w:vertAlign w:val="superscript"/>
        </w:rPr>
        <w:footnoteReference w:id="23"/>
      </w:r>
      <w:r w:rsidRPr="00A90241">
        <w:rPr>
          <w:rFonts w:ascii="Times New Roman" w:hAnsi="Times New Roman" w:cs="Times New Roman"/>
          <w:sz w:val="24"/>
          <w:szCs w:val="24"/>
        </w:rPr>
        <w:t xml:space="preserve"> when the Commission concluded that Chinese HRFS producers enjoyed benefits under a number of subsidy programs. </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 Chinese Government further guides the development of the sector in accordance with a broad range of policy tools and directives related, </w:t>
      </w:r>
      <w:r w:rsidRPr="00A90241">
        <w:rPr>
          <w:rFonts w:ascii="Times New Roman" w:hAnsi="Times New Roman" w:cs="Times New Roman"/>
          <w:i/>
          <w:sz w:val="24"/>
          <w:szCs w:val="24"/>
        </w:rPr>
        <w:t>inter alia</w:t>
      </w:r>
      <w:r w:rsidRPr="00A90241">
        <w:rPr>
          <w:rFonts w:ascii="Times New Roman" w:hAnsi="Times New Roman" w:cs="Times New Roman"/>
          <w:sz w:val="24"/>
          <w:szCs w:val="24"/>
        </w:rPr>
        <w:t>, to market composition and restructuring, raw materials, investment, capacity elimination, product range, relocation, upgrading, VAT refunds, etc. Through these and other means, the Chinese Government directs and controls virtually every aspect in the development and functioning of the sector.</w:t>
      </w:r>
      <w:r w:rsidRPr="00A90241">
        <w:rPr>
          <w:rFonts w:ascii="Times New Roman" w:hAnsi="Times New Roman" w:cs="Times New Roman"/>
          <w:sz w:val="24"/>
          <w:szCs w:val="24"/>
          <w:vertAlign w:val="superscript"/>
        </w:rPr>
        <w:footnoteReference w:id="24"/>
      </w:r>
      <w:r w:rsidRPr="00A90241">
        <w:rPr>
          <w:rFonts w:ascii="Times New Roman" w:hAnsi="Times New Roman" w:cs="Times New Roman"/>
          <w:sz w:val="24"/>
          <w:szCs w:val="24"/>
        </w:rPr>
        <w:t xml:space="preserve"> The current problem of overcapacity is arguably the clearest illustration of the implications of the Chinese Government’s policies for the industry and the resulting distortions.</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In sum, the Chinese Government has measures in place to induce operators to comply with the public policy objectives of supporting particular industries, including the production of HRF. Such measures impede market forces from operating normally.</w:t>
      </w:r>
    </w:p>
    <w:p w:rsidR="00A90241" w:rsidRPr="00A90241" w:rsidRDefault="00A90241" w:rsidP="00A90241">
      <w:pPr>
        <w:pStyle w:val="Heading5"/>
        <w:numPr>
          <w:ilvl w:val="5"/>
          <w:numId w:val="3"/>
        </w:numPr>
        <w:ind w:left="709" w:firstLine="0"/>
        <w:rPr>
          <w:szCs w:val="24"/>
        </w:rPr>
      </w:pPr>
      <w:bookmarkStart w:id="4" w:name="_Toc92196609"/>
      <w:r w:rsidRPr="00A90241">
        <w:rPr>
          <w:i/>
          <w:szCs w:val="24"/>
        </w:rPr>
        <w:t>The lack, discriminatory application or inadequate enforcement of bankruptcy, corporate or property laws</w:t>
      </w:r>
      <w:bookmarkEnd w:id="4"/>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The Chinese bankruptcy system appears inadequate to deliver on its own main objectives such as to settle claims and debts fairly and to safeguard the lawful rights and interests of creditors and debtors. This appears to be rooted in the fact that, while the Chinese bankruptcy law formally rests on similar principles as corresponding laws in other countries, the Chinese system is characterised by systematic under-enforcement. The number of bankruptcies remains notoriously low in relation to the size of the country’s economy. This not least because the insolvency proceedings suffer from a number of shortcomings, which effectively function as a disincentive for bankruptcy filings. Moreover, the State plays a strong and active role in the insolvency proceedings, often having direct influence on their outcome.</w:t>
      </w:r>
      <w:r w:rsidRPr="00A90241">
        <w:rPr>
          <w:rFonts w:ascii="Times New Roman" w:hAnsi="Times New Roman" w:cs="Times New Roman"/>
          <w:sz w:val="24"/>
          <w:szCs w:val="24"/>
          <w:vertAlign w:val="superscript"/>
        </w:rPr>
        <w:footnoteReference w:id="25"/>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lastRenderedPageBreak/>
        <w:t>In addition, the shortcomings of the system of property rights are particularly obvious in relation to ownership of land and land-use rights in China.</w:t>
      </w:r>
      <w:r w:rsidRPr="00A90241">
        <w:rPr>
          <w:rFonts w:ascii="Times New Roman" w:hAnsi="Times New Roman" w:cs="Times New Roman"/>
          <w:sz w:val="24"/>
          <w:szCs w:val="24"/>
          <w:vertAlign w:val="superscript"/>
        </w:rPr>
        <w:footnoteReference w:id="26"/>
      </w:r>
      <w:r w:rsidRPr="00A90241">
        <w:rPr>
          <w:rFonts w:ascii="Times New Roman" w:hAnsi="Times New Roman" w:cs="Times New Roman"/>
          <w:sz w:val="24"/>
          <w:szCs w:val="24"/>
        </w:rPr>
        <w:t xml:space="preserve"> All land </w:t>
      </w:r>
      <w:proofErr w:type="gramStart"/>
      <w:r w:rsidRPr="00A90241">
        <w:rPr>
          <w:rFonts w:ascii="Times New Roman" w:hAnsi="Times New Roman" w:cs="Times New Roman"/>
          <w:sz w:val="24"/>
          <w:szCs w:val="24"/>
        </w:rPr>
        <w:t>is owned</w:t>
      </w:r>
      <w:proofErr w:type="gramEnd"/>
      <w:r w:rsidRPr="00A90241">
        <w:rPr>
          <w:rFonts w:ascii="Times New Roman" w:hAnsi="Times New Roman" w:cs="Times New Roman"/>
          <w:sz w:val="24"/>
          <w:szCs w:val="24"/>
        </w:rPr>
        <w:t xml:space="preserve"> by the Chinese State (collectively owned rural land and State-owned urban land). Its allocation remains solely dependent on the State. There are legal provisions that aim at allocating land use rights in a transparent manner and at market prices, for example by introducing bidding procedures. However, these provisions are regularly not respected, with certain buyers obtaining their land </w:t>
      </w:r>
      <w:proofErr w:type="gramStart"/>
      <w:r w:rsidRPr="00A90241">
        <w:rPr>
          <w:rFonts w:ascii="Times New Roman" w:hAnsi="Times New Roman" w:cs="Times New Roman"/>
          <w:sz w:val="24"/>
          <w:szCs w:val="24"/>
        </w:rPr>
        <w:t>for free</w:t>
      </w:r>
      <w:proofErr w:type="gramEnd"/>
      <w:r w:rsidRPr="00A90241">
        <w:rPr>
          <w:rFonts w:ascii="Times New Roman" w:hAnsi="Times New Roman" w:cs="Times New Roman"/>
          <w:sz w:val="24"/>
          <w:szCs w:val="24"/>
        </w:rPr>
        <w:t xml:space="preserve"> or below market rates.</w:t>
      </w:r>
      <w:r w:rsidRPr="00A90241">
        <w:rPr>
          <w:rFonts w:ascii="Times New Roman" w:hAnsi="Times New Roman" w:cs="Times New Roman"/>
          <w:sz w:val="24"/>
          <w:szCs w:val="24"/>
          <w:vertAlign w:val="superscript"/>
        </w:rPr>
        <w:footnoteReference w:id="27"/>
      </w:r>
      <w:r w:rsidRPr="00A90241">
        <w:rPr>
          <w:rFonts w:ascii="Times New Roman" w:hAnsi="Times New Roman" w:cs="Times New Roman"/>
          <w:sz w:val="24"/>
          <w:szCs w:val="24"/>
        </w:rPr>
        <w:t xml:space="preserve"> Moreover, authorities often pursue specific political goals including the implementation of the economic plans when allocating land.</w:t>
      </w:r>
      <w:r w:rsidRPr="00A90241">
        <w:rPr>
          <w:rFonts w:ascii="Times New Roman" w:hAnsi="Times New Roman" w:cs="Times New Roman"/>
          <w:sz w:val="24"/>
          <w:szCs w:val="24"/>
          <w:vertAlign w:val="superscript"/>
        </w:rPr>
        <w:footnoteReference w:id="28"/>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Indeed, the Chinese government does a lot for its “favoured” companies. </w:t>
      </w:r>
      <w:proofErr w:type="spellStart"/>
      <w:r w:rsidRPr="00A90241">
        <w:rPr>
          <w:rFonts w:ascii="Times New Roman" w:hAnsi="Times New Roman" w:cs="Times New Roman"/>
          <w:sz w:val="24"/>
          <w:szCs w:val="24"/>
        </w:rPr>
        <w:t>Usha</w:t>
      </w:r>
      <w:proofErr w:type="spellEnd"/>
      <w:r w:rsidRPr="00A90241">
        <w:rPr>
          <w:rFonts w:ascii="Times New Roman" w:hAnsi="Times New Roman" w:cs="Times New Roman"/>
          <w:sz w:val="24"/>
          <w:szCs w:val="24"/>
        </w:rPr>
        <w:t xml:space="preserve"> Haley, chair of International Business at Wichita State University, lists some of the mechanisms used for that: </w:t>
      </w:r>
      <w:r w:rsidRPr="00A90241">
        <w:rPr>
          <w:rFonts w:ascii="Times New Roman" w:hAnsi="Times New Roman" w:cs="Times New Roman"/>
          <w:i/>
          <w:sz w:val="24"/>
          <w:szCs w:val="24"/>
        </w:rPr>
        <w:t xml:space="preserve">“free land, loans that never have to be repaid for the life of the loan, manufacturing facilities that are unhooked from the electrical grid, subsidized raw materials, </w:t>
      </w:r>
      <w:proofErr w:type="gramStart"/>
      <w:r w:rsidRPr="00A90241">
        <w:rPr>
          <w:rFonts w:ascii="Times New Roman" w:hAnsi="Times New Roman" w:cs="Times New Roman"/>
          <w:i/>
          <w:sz w:val="24"/>
          <w:szCs w:val="24"/>
        </w:rPr>
        <w:t>access</w:t>
      </w:r>
      <w:proofErr w:type="gramEnd"/>
      <w:r w:rsidRPr="00A90241">
        <w:rPr>
          <w:rFonts w:ascii="Times New Roman" w:hAnsi="Times New Roman" w:cs="Times New Roman"/>
          <w:i/>
          <w:sz w:val="24"/>
          <w:szCs w:val="24"/>
        </w:rPr>
        <w:t xml:space="preserve"> to markets, [</w:t>
      </w:r>
      <w:proofErr w:type="spellStart"/>
      <w:r w:rsidRPr="00A90241">
        <w:rPr>
          <w:rFonts w:ascii="Times New Roman" w:hAnsi="Times New Roman" w:cs="Times New Roman"/>
          <w:i/>
          <w:sz w:val="24"/>
          <w:szCs w:val="24"/>
        </w:rPr>
        <w:t>etc</w:t>
      </w:r>
      <w:proofErr w:type="spellEnd"/>
      <w:r w:rsidRPr="00A90241">
        <w:rPr>
          <w:rFonts w:ascii="Times New Roman" w:hAnsi="Times New Roman" w:cs="Times New Roman"/>
          <w:i/>
          <w:sz w:val="24"/>
          <w:szCs w:val="24"/>
        </w:rPr>
        <w:t>]”.</w:t>
      </w:r>
      <w:r w:rsidRPr="00A90241">
        <w:rPr>
          <w:rStyle w:val="FootnoteReference"/>
          <w:rFonts w:ascii="Times New Roman" w:hAnsi="Times New Roman" w:cs="Times New Roman"/>
          <w:i/>
          <w:sz w:val="24"/>
          <w:szCs w:val="24"/>
        </w:rPr>
        <w:footnoteReference w:id="29"/>
      </w:r>
      <w:r w:rsidRPr="00A90241">
        <w:rPr>
          <w:rFonts w:ascii="Times New Roman" w:hAnsi="Times New Roman" w:cs="Times New Roman"/>
          <w:sz w:val="24"/>
          <w:szCs w:val="24"/>
        </w:rPr>
        <w:t xml:space="preserve"> She added these kinds of subsidies for targeted industries have long been part of China’s strategic development. </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Therefore, the Chinese bankruptcy and property laws do not appear to work properly, resulting in distortions by maintaining insolvent firms afloat and by not providing land at market conditions. Those considerations, </w:t>
      </w:r>
      <w:proofErr w:type="gramStart"/>
      <w:r w:rsidRPr="00A90241">
        <w:rPr>
          <w:rFonts w:ascii="Times New Roman" w:hAnsi="Times New Roman" w:cs="Times New Roman"/>
          <w:sz w:val="24"/>
          <w:szCs w:val="24"/>
        </w:rPr>
        <w:t>on the basis of</w:t>
      </w:r>
      <w:proofErr w:type="gramEnd"/>
      <w:r w:rsidRPr="00A90241">
        <w:rPr>
          <w:rFonts w:ascii="Times New Roman" w:hAnsi="Times New Roman" w:cs="Times New Roman"/>
          <w:sz w:val="24"/>
          <w:szCs w:val="24"/>
        </w:rPr>
        <w:t xml:space="preserve"> the evidence available, appear to be fully applicable also in the steel sector.</w:t>
      </w:r>
    </w:p>
    <w:p w:rsidR="00A90241" w:rsidRPr="00A90241" w:rsidRDefault="00A90241" w:rsidP="00A90241">
      <w:pPr>
        <w:pStyle w:val="Heading5"/>
        <w:numPr>
          <w:ilvl w:val="5"/>
          <w:numId w:val="3"/>
        </w:numPr>
        <w:ind w:left="709" w:firstLine="0"/>
        <w:rPr>
          <w:i/>
          <w:szCs w:val="24"/>
        </w:rPr>
      </w:pPr>
      <w:bookmarkStart w:id="5" w:name="_Toc92196610"/>
      <w:r w:rsidRPr="00A90241">
        <w:rPr>
          <w:i/>
          <w:szCs w:val="24"/>
        </w:rPr>
        <w:t>Wage costs being distorted</w:t>
      </w:r>
      <w:bookmarkEnd w:id="5"/>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A system of market-based wages cannot fully develop in China as workers and employers </w:t>
      </w:r>
      <w:proofErr w:type="gramStart"/>
      <w:r w:rsidRPr="00A90241">
        <w:rPr>
          <w:rFonts w:ascii="Times New Roman" w:hAnsi="Times New Roman" w:cs="Times New Roman"/>
          <w:sz w:val="24"/>
          <w:szCs w:val="24"/>
        </w:rPr>
        <w:t>are impeded</w:t>
      </w:r>
      <w:proofErr w:type="gramEnd"/>
      <w:r w:rsidRPr="00A90241">
        <w:rPr>
          <w:rFonts w:ascii="Times New Roman" w:hAnsi="Times New Roman" w:cs="Times New Roman"/>
          <w:sz w:val="24"/>
          <w:szCs w:val="24"/>
        </w:rPr>
        <w:t xml:space="preserve"> in their rights to collective organisation. China has not ratified a number of essential conventions of the International Labour Organisation (“</w:t>
      </w:r>
      <w:r w:rsidRPr="00A90241">
        <w:rPr>
          <w:rFonts w:ascii="Times New Roman" w:hAnsi="Times New Roman" w:cs="Times New Roman"/>
          <w:b/>
          <w:sz w:val="24"/>
          <w:szCs w:val="24"/>
        </w:rPr>
        <w:t>ILO</w:t>
      </w:r>
      <w:r w:rsidRPr="00A90241">
        <w:rPr>
          <w:rFonts w:ascii="Times New Roman" w:hAnsi="Times New Roman" w:cs="Times New Roman"/>
          <w:sz w:val="24"/>
          <w:szCs w:val="24"/>
        </w:rPr>
        <w:t>”), in particular those on the freedom of association and on collective bargaining.</w:t>
      </w:r>
      <w:r w:rsidRPr="00A90241">
        <w:rPr>
          <w:rFonts w:ascii="Times New Roman" w:hAnsi="Times New Roman" w:cs="Times New Roman"/>
          <w:sz w:val="24"/>
          <w:szCs w:val="24"/>
          <w:vertAlign w:val="superscript"/>
        </w:rPr>
        <w:footnoteReference w:id="30"/>
      </w:r>
      <w:r w:rsidRPr="00A90241">
        <w:rPr>
          <w:rFonts w:ascii="Times New Roman" w:hAnsi="Times New Roman" w:cs="Times New Roman"/>
          <w:sz w:val="24"/>
          <w:szCs w:val="24"/>
        </w:rPr>
        <w:t xml:space="preserve"> Under national law, only one trade union organisation is active. However, this organisation lacks independence from the State authorities and its engagement in collective bargaining and protection of workers’ rights remains rudimentary.</w:t>
      </w:r>
      <w:r w:rsidRPr="00A90241">
        <w:rPr>
          <w:rFonts w:ascii="Times New Roman" w:hAnsi="Times New Roman" w:cs="Times New Roman"/>
          <w:sz w:val="24"/>
          <w:szCs w:val="24"/>
          <w:vertAlign w:val="superscript"/>
        </w:rPr>
        <w:footnoteReference w:id="31"/>
      </w:r>
      <w:r w:rsidRPr="00A90241">
        <w:rPr>
          <w:rFonts w:ascii="Times New Roman" w:hAnsi="Times New Roman" w:cs="Times New Roman"/>
          <w:sz w:val="24"/>
          <w:szCs w:val="24"/>
        </w:rPr>
        <w:t xml:space="preserve"> Moreover, the mobility of the Chinese workforce </w:t>
      </w:r>
      <w:proofErr w:type="gramStart"/>
      <w:r w:rsidRPr="00A90241">
        <w:rPr>
          <w:rFonts w:ascii="Times New Roman" w:hAnsi="Times New Roman" w:cs="Times New Roman"/>
          <w:sz w:val="24"/>
          <w:szCs w:val="24"/>
        </w:rPr>
        <w:t>is restricted</w:t>
      </w:r>
      <w:proofErr w:type="gramEnd"/>
      <w:r w:rsidRPr="00A90241">
        <w:rPr>
          <w:rFonts w:ascii="Times New Roman" w:hAnsi="Times New Roman" w:cs="Times New Roman"/>
          <w:sz w:val="24"/>
          <w:szCs w:val="24"/>
        </w:rPr>
        <w:t xml:space="preserve"> by the household registration system, which limits access to the full range of social security and other benefits to residents of a given administrative area. This typically results in workers who are not in possession of the local residence registration finding themselves in a vulnerable employment position and receiving lower income than the holders of the residence registration.</w:t>
      </w:r>
      <w:r w:rsidRPr="00A90241">
        <w:rPr>
          <w:rFonts w:ascii="Times New Roman" w:hAnsi="Times New Roman" w:cs="Times New Roman"/>
          <w:sz w:val="24"/>
          <w:szCs w:val="24"/>
          <w:vertAlign w:val="superscript"/>
        </w:rPr>
        <w:footnoteReference w:id="32"/>
      </w:r>
      <w:r w:rsidRPr="00A90241">
        <w:rPr>
          <w:rFonts w:ascii="Times New Roman" w:hAnsi="Times New Roman" w:cs="Times New Roman"/>
          <w:sz w:val="24"/>
          <w:szCs w:val="24"/>
        </w:rPr>
        <w:t xml:space="preserve"> Those findings lead to the distortion of wage costs in China.</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The steel sector in China is clearly affected by the distortions of wage costs both directly (when making the product concerned) as well as indirectly (when having access to capital or inputs from companies subject to the same labour system in China).</w:t>
      </w:r>
    </w:p>
    <w:p w:rsidR="00A90241" w:rsidRPr="00A90241" w:rsidRDefault="00A90241" w:rsidP="00A90241">
      <w:pPr>
        <w:pStyle w:val="Heading5"/>
        <w:numPr>
          <w:ilvl w:val="5"/>
          <w:numId w:val="3"/>
        </w:numPr>
        <w:ind w:left="709" w:firstLine="0"/>
        <w:rPr>
          <w:i/>
          <w:szCs w:val="24"/>
        </w:rPr>
      </w:pPr>
      <w:bookmarkStart w:id="6" w:name="_Toc92196611"/>
      <w:r w:rsidRPr="00A90241">
        <w:rPr>
          <w:i/>
          <w:szCs w:val="24"/>
        </w:rPr>
        <w:lastRenderedPageBreak/>
        <w:t>Access to finance granted by institutions which implement public policy objectives or otherwise not acting independently of the State</w:t>
      </w:r>
      <w:bookmarkEnd w:id="6"/>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Firstly, the Chinese financial system is characterised by the strong position of State-owned banks,</w:t>
      </w:r>
      <w:r w:rsidRPr="00A90241">
        <w:rPr>
          <w:rFonts w:ascii="Times New Roman" w:hAnsi="Times New Roman" w:cs="Times New Roman"/>
          <w:sz w:val="24"/>
          <w:szCs w:val="24"/>
          <w:vertAlign w:val="superscript"/>
        </w:rPr>
        <w:footnoteReference w:id="33"/>
      </w:r>
      <w:r w:rsidRPr="00A90241">
        <w:rPr>
          <w:rFonts w:ascii="Times New Roman" w:hAnsi="Times New Roman" w:cs="Times New Roman"/>
          <w:sz w:val="24"/>
          <w:szCs w:val="24"/>
        </w:rPr>
        <w:t xml:space="preserve"> which, when granting access to finance, take into consideration criteria other than economic viability of a project. Similarly to non-financial SOEs, the banks remain connected to the State, not only through ownership but also via personal relations (i.e. the top executives of the large State-owned financial institutions are ultimately appointed by the CCP)</w:t>
      </w:r>
      <w:r w:rsidRPr="00A90241">
        <w:rPr>
          <w:rFonts w:ascii="Times New Roman" w:hAnsi="Times New Roman" w:cs="Times New Roman"/>
          <w:sz w:val="24"/>
          <w:szCs w:val="24"/>
          <w:vertAlign w:val="superscript"/>
        </w:rPr>
        <w:footnoteReference w:id="34"/>
      </w:r>
      <w:r w:rsidRPr="00A90241">
        <w:rPr>
          <w:rFonts w:ascii="Times New Roman" w:hAnsi="Times New Roman" w:cs="Times New Roman"/>
          <w:sz w:val="24"/>
          <w:szCs w:val="24"/>
        </w:rPr>
        <w:t xml:space="preserve"> and, again just like non-financial SOEs, the banks regularly implement public policies designed by the Government. In doing so, the banks comply with an explicit legal obligation to conduct their business in accordance with the needs of the national economic and social development and under the guidance of the industrial policies of the State.</w:t>
      </w:r>
      <w:r w:rsidRPr="00A90241">
        <w:rPr>
          <w:rFonts w:ascii="Times New Roman" w:hAnsi="Times New Roman" w:cs="Times New Roman"/>
          <w:sz w:val="24"/>
          <w:szCs w:val="24"/>
          <w:vertAlign w:val="superscript"/>
        </w:rPr>
        <w:footnoteReference w:id="35"/>
      </w:r>
      <w:r w:rsidRPr="00A90241">
        <w:rPr>
          <w:rFonts w:ascii="Times New Roman" w:hAnsi="Times New Roman" w:cs="Times New Roman"/>
          <w:sz w:val="24"/>
          <w:szCs w:val="24"/>
        </w:rPr>
        <w:t xml:space="preserve"> This </w:t>
      </w:r>
      <w:proofErr w:type="gramStart"/>
      <w:r w:rsidRPr="00A90241">
        <w:rPr>
          <w:rFonts w:ascii="Times New Roman" w:hAnsi="Times New Roman" w:cs="Times New Roman"/>
          <w:sz w:val="24"/>
          <w:szCs w:val="24"/>
        </w:rPr>
        <w:t>is compounded</w:t>
      </w:r>
      <w:proofErr w:type="gramEnd"/>
      <w:r w:rsidRPr="00A90241">
        <w:rPr>
          <w:rFonts w:ascii="Times New Roman" w:hAnsi="Times New Roman" w:cs="Times New Roman"/>
          <w:sz w:val="24"/>
          <w:szCs w:val="24"/>
        </w:rPr>
        <w:t xml:space="preserve"> by additional existing rules, which direct finances into sectors designated by the government as encouraged or otherwise important.</w:t>
      </w:r>
      <w:r w:rsidRPr="00A90241">
        <w:rPr>
          <w:rFonts w:ascii="Times New Roman" w:hAnsi="Times New Roman" w:cs="Times New Roman"/>
          <w:sz w:val="24"/>
          <w:szCs w:val="24"/>
          <w:vertAlign w:val="superscript"/>
        </w:rPr>
        <w:footnoteReference w:id="36"/>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While it </w:t>
      </w:r>
      <w:proofErr w:type="gramStart"/>
      <w:r w:rsidRPr="00A90241">
        <w:rPr>
          <w:rFonts w:ascii="Times New Roman" w:hAnsi="Times New Roman" w:cs="Times New Roman"/>
          <w:sz w:val="24"/>
          <w:szCs w:val="24"/>
        </w:rPr>
        <w:t>is acknowledged</w:t>
      </w:r>
      <w:proofErr w:type="gramEnd"/>
      <w:r w:rsidRPr="00A90241">
        <w:rPr>
          <w:rFonts w:ascii="Times New Roman" w:hAnsi="Times New Roman" w:cs="Times New Roman"/>
          <w:sz w:val="24"/>
          <w:szCs w:val="24"/>
        </w:rPr>
        <w:t xml:space="preserve"> that various legal provisions refer to the need to respect normal banking behaviour and prudential rules such as the need to examine the creditworthiness of the borrower, the overwhelming evidence, including findings made during trade defence investigations, suggests that these provisions play only a secondary role in the application of the various legal instruments.</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Furthermore, bond and credit ratings </w:t>
      </w:r>
      <w:proofErr w:type="gramStart"/>
      <w:r w:rsidRPr="00A90241">
        <w:rPr>
          <w:rFonts w:ascii="Times New Roman" w:hAnsi="Times New Roman" w:cs="Times New Roman"/>
          <w:sz w:val="24"/>
          <w:szCs w:val="24"/>
        </w:rPr>
        <w:t>are often distorted</w:t>
      </w:r>
      <w:proofErr w:type="gramEnd"/>
      <w:r w:rsidRPr="00A90241">
        <w:rPr>
          <w:rFonts w:ascii="Times New Roman" w:hAnsi="Times New Roman" w:cs="Times New Roman"/>
          <w:sz w:val="24"/>
          <w:szCs w:val="24"/>
        </w:rPr>
        <w:t xml:space="preserve"> for a variety of reasons, including the fact that the risk assessment is influenced by the firm’s strategic importance to the Chinese Government and the strength of any implicit guarantee by the Government. Estimates strongly suggest that Chinese credit ratings systematically correspond to lower international ratings.</w:t>
      </w:r>
    </w:p>
    <w:p w:rsidR="00A90241" w:rsidRPr="00A90241" w:rsidRDefault="00A90241" w:rsidP="00A90241">
      <w:pPr>
        <w:numPr>
          <w:ilvl w:val="0"/>
          <w:numId w:val="1"/>
        </w:numPr>
        <w:shd w:val="clear" w:color="auto" w:fill="FFFFFF" w:themeFill="background1"/>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shd w:val="clear" w:color="auto" w:fill="FFFFFF" w:themeFill="background1"/>
        </w:rPr>
        <w:t xml:space="preserve">Secondly, borrowing costs </w:t>
      </w:r>
      <w:proofErr w:type="gramStart"/>
      <w:r w:rsidRPr="00A90241">
        <w:rPr>
          <w:rFonts w:ascii="Times New Roman" w:hAnsi="Times New Roman" w:cs="Times New Roman"/>
          <w:sz w:val="24"/>
          <w:szCs w:val="24"/>
          <w:shd w:val="clear" w:color="auto" w:fill="FFFFFF" w:themeFill="background1"/>
        </w:rPr>
        <w:t>have been kept</w:t>
      </w:r>
      <w:proofErr w:type="gramEnd"/>
      <w:r w:rsidRPr="00A90241">
        <w:rPr>
          <w:rFonts w:ascii="Times New Roman" w:hAnsi="Times New Roman" w:cs="Times New Roman"/>
          <w:sz w:val="24"/>
          <w:szCs w:val="24"/>
          <w:shd w:val="clear" w:color="auto" w:fill="FFFFFF" w:themeFill="background1"/>
        </w:rPr>
        <w:t xml:space="preserve"> artificially low to stimulate investment growth. This has led to the excessive use of capital investment with </w:t>
      </w:r>
      <w:proofErr w:type="gramStart"/>
      <w:r w:rsidRPr="00A90241">
        <w:rPr>
          <w:rFonts w:ascii="Times New Roman" w:hAnsi="Times New Roman" w:cs="Times New Roman"/>
          <w:sz w:val="24"/>
          <w:szCs w:val="24"/>
          <w:shd w:val="clear" w:color="auto" w:fill="FFFFFF" w:themeFill="background1"/>
        </w:rPr>
        <w:t>ever lower</w:t>
      </w:r>
      <w:proofErr w:type="gramEnd"/>
      <w:r w:rsidRPr="00A90241">
        <w:rPr>
          <w:rFonts w:ascii="Times New Roman" w:hAnsi="Times New Roman" w:cs="Times New Roman"/>
          <w:sz w:val="24"/>
          <w:szCs w:val="24"/>
          <w:shd w:val="clear" w:color="auto" w:fill="FFFFFF" w:themeFill="background1"/>
        </w:rPr>
        <w:t xml:space="preserve"> returns on investment. This is illustrated by the recent growth in corporate </w:t>
      </w:r>
      <w:proofErr w:type="gramStart"/>
      <w:r w:rsidRPr="00A90241">
        <w:rPr>
          <w:rFonts w:ascii="Times New Roman" w:hAnsi="Times New Roman" w:cs="Times New Roman"/>
          <w:sz w:val="24"/>
          <w:szCs w:val="24"/>
          <w:shd w:val="clear" w:color="auto" w:fill="FFFFFF" w:themeFill="background1"/>
        </w:rPr>
        <w:t>leverage</w:t>
      </w:r>
      <w:proofErr w:type="gramEnd"/>
      <w:r w:rsidRPr="00A90241">
        <w:rPr>
          <w:rFonts w:ascii="Times New Roman" w:hAnsi="Times New Roman" w:cs="Times New Roman"/>
          <w:sz w:val="24"/>
          <w:szCs w:val="24"/>
          <w:shd w:val="clear" w:color="auto" w:fill="FFFFFF" w:themeFill="background1"/>
        </w:rPr>
        <w:t xml:space="preserve"> in the state sector despite a sharp fall in profitability, which suggests that the mechanisms at work in the banking system do not follow normal commercial responses</w:t>
      </w:r>
      <w:r w:rsidRPr="00A90241">
        <w:rPr>
          <w:rFonts w:ascii="Times New Roman" w:hAnsi="Times New Roman" w:cs="Times New Roman"/>
          <w:sz w:val="24"/>
          <w:szCs w:val="24"/>
        </w:rPr>
        <w:t>.</w:t>
      </w:r>
    </w:p>
    <w:p w:rsidR="00A90241" w:rsidRPr="00A90241" w:rsidRDefault="00A90241" w:rsidP="00A90241">
      <w:pPr>
        <w:numPr>
          <w:ilvl w:val="0"/>
          <w:numId w:val="1"/>
        </w:numPr>
        <w:shd w:val="clear" w:color="auto" w:fill="FFFFFF" w:themeFill="background1"/>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shd w:val="clear" w:color="auto" w:fill="FFFFFF" w:themeFill="background1"/>
        </w:rPr>
        <w:t xml:space="preserve">Thirdly, although nominal interest rate liberalization </w:t>
      </w:r>
      <w:proofErr w:type="gramStart"/>
      <w:r w:rsidRPr="00A90241">
        <w:rPr>
          <w:rFonts w:ascii="Times New Roman" w:hAnsi="Times New Roman" w:cs="Times New Roman"/>
          <w:sz w:val="24"/>
          <w:szCs w:val="24"/>
          <w:shd w:val="clear" w:color="auto" w:fill="FFFFFF" w:themeFill="background1"/>
        </w:rPr>
        <w:t>was achieved</w:t>
      </w:r>
      <w:proofErr w:type="gramEnd"/>
      <w:r w:rsidRPr="00A90241">
        <w:rPr>
          <w:rFonts w:ascii="Times New Roman" w:hAnsi="Times New Roman" w:cs="Times New Roman"/>
          <w:sz w:val="24"/>
          <w:szCs w:val="24"/>
          <w:shd w:val="clear" w:color="auto" w:fill="FFFFFF" w:themeFill="background1"/>
        </w:rPr>
        <w:t xml:space="preserve"> in October 2015, price signals are still not the result of free</w:t>
      </w:r>
      <w:r w:rsidRPr="00A90241">
        <w:rPr>
          <w:rFonts w:ascii="Times New Roman" w:hAnsi="Times New Roman" w:cs="Times New Roman"/>
          <w:sz w:val="24"/>
          <w:szCs w:val="24"/>
        </w:rPr>
        <w:t xml:space="preserve"> market forces, but are influenced by Government induced distortions. Indeed, the share of lending at or below the benchmark rate still represents 45% of all lending and recourse to </w:t>
      </w:r>
      <w:r w:rsidRPr="00A90241">
        <w:rPr>
          <w:rFonts w:ascii="Times New Roman" w:hAnsi="Times New Roman" w:cs="Times New Roman"/>
          <w:sz w:val="24"/>
          <w:szCs w:val="24"/>
          <w:shd w:val="clear" w:color="auto" w:fill="FFFFFF" w:themeFill="background1"/>
        </w:rPr>
        <w:t xml:space="preserve">targeted credit appears to </w:t>
      </w:r>
      <w:proofErr w:type="gramStart"/>
      <w:r w:rsidRPr="00A90241">
        <w:rPr>
          <w:rFonts w:ascii="Times New Roman" w:hAnsi="Times New Roman" w:cs="Times New Roman"/>
          <w:sz w:val="24"/>
          <w:szCs w:val="24"/>
          <w:shd w:val="clear" w:color="auto" w:fill="FFFFFF" w:themeFill="background1"/>
        </w:rPr>
        <w:t>have been stepped up,</w:t>
      </w:r>
      <w:proofErr w:type="gramEnd"/>
      <w:r w:rsidRPr="00A90241">
        <w:rPr>
          <w:rFonts w:ascii="Times New Roman" w:hAnsi="Times New Roman" w:cs="Times New Roman"/>
          <w:sz w:val="24"/>
          <w:szCs w:val="24"/>
          <w:shd w:val="clear" w:color="auto" w:fill="FFFFFF" w:themeFill="background1"/>
        </w:rPr>
        <w:t xml:space="preserve"> since this share has increased markedly since 2015 in spite of worsening economic conditions. Artificially low interest rates result in under</w:t>
      </w:r>
      <w:r w:rsidRPr="00A90241">
        <w:rPr>
          <w:rFonts w:ascii="Times New Roman" w:hAnsi="Times New Roman" w:cs="Times New Roman"/>
          <w:sz w:val="24"/>
          <w:szCs w:val="24"/>
        </w:rPr>
        <w:t xml:space="preserve">-pricing, and consequently, the </w:t>
      </w:r>
      <w:r w:rsidRPr="00A90241">
        <w:rPr>
          <w:rFonts w:ascii="Times New Roman" w:hAnsi="Times New Roman" w:cs="Times New Roman"/>
          <w:sz w:val="24"/>
          <w:szCs w:val="24"/>
          <w:shd w:val="clear" w:color="auto" w:fill="FFFFFF" w:themeFill="background1"/>
        </w:rPr>
        <w:t>excessive utilization of</w:t>
      </w:r>
      <w:r w:rsidRPr="00A90241">
        <w:rPr>
          <w:rFonts w:ascii="Times New Roman" w:hAnsi="Times New Roman" w:cs="Times New Roman"/>
          <w:sz w:val="24"/>
          <w:szCs w:val="24"/>
        </w:rPr>
        <w:t xml:space="preserve"> capital.</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Overall credit growth in China indicates a worsening efficiency of capital allocation without any signs of credit tightening that </w:t>
      </w:r>
      <w:proofErr w:type="gramStart"/>
      <w:r w:rsidRPr="00A90241">
        <w:rPr>
          <w:rFonts w:ascii="Times New Roman" w:hAnsi="Times New Roman" w:cs="Times New Roman"/>
          <w:sz w:val="24"/>
          <w:szCs w:val="24"/>
        </w:rPr>
        <w:t>would be expected</w:t>
      </w:r>
      <w:proofErr w:type="gramEnd"/>
      <w:r w:rsidRPr="00A90241">
        <w:rPr>
          <w:rFonts w:ascii="Times New Roman" w:hAnsi="Times New Roman" w:cs="Times New Roman"/>
          <w:sz w:val="24"/>
          <w:szCs w:val="24"/>
        </w:rPr>
        <w:t xml:space="preserve"> in an undistorted market environment. As a result, non-performing loans have increased rapidly in the past years. Faced with a situation of increasing debt-at-risk, the Chinese Government has opted to avoid defaults. Consequently, bad debt issues have been handled by rolling over debt, </w:t>
      </w:r>
      <w:r w:rsidRPr="00A90241">
        <w:rPr>
          <w:rFonts w:ascii="Times New Roman" w:hAnsi="Times New Roman" w:cs="Times New Roman"/>
          <w:sz w:val="24"/>
          <w:szCs w:val="24"/>
        </w:rPr>
        <w:lastRenderedPageBreak/>
        <w:t>thus creating so called ‘zombie’ companies, or by transferring the ownership of the debt (e.g., via mergers or debt-to-equity swaps) without necessarily removing the overall debt problem or addressing its root causes.</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In essence, despite the steps that </w:t>
      </w:r>
      <w:proofErr w:type="gramStart"/>
      <w:r w:rsidRPr="00A90241">
        <w:rPr>
          <w:rFonts w:ascii="Times New Roman" w:hAnsi="Times New Roman" w:cs="Times New Roman"/>
          <w:sz w:val="24"/>
          <w:szCs w:val="24"/>
        </w:rPr>
        <w:t>have been taken</w:t>
      </w:r>
      <w:proofErr w:type="gramEnd"/>
      <w:r w:rsidRPr="00A90241">
        <w:rPr>
          <w:rFonts w:ascii="Times New Roman" w:hAnsi="Times New Roman" w:cs="Times New Roman"/>
          <w:sz w:val="24"/>
          <w:szCs w:val="24"/>
        </w:rPr>
        <w:t xml:space="preserve"> to liberalize the market, the corporate credit system in China is affected by significant systemic issues and distortions resulting from the continuing pervasive role of the state in the capital markets. The substantial Government intervention in the financial system leads to the market conditions </w:t>
      </w:r>
      <w:proofErr w:type="gramStart"/>
      <w:r w:rsidRPr="00A90241">
        <w:rPr>
          <w:rFonts w:ascii="Times New Roman" w:hAnsi="Times New Roman" w:cs="Times New Roman"/>
          <w:sz w:val="24"/>
          <w:szCs w:val="24"/>
        </w:rPr>
        <w:t>being severely affected</w:t>
      </w:r>
      <w:proofErr w:type="gramEnd"/>
      <w:r w:rsidRPr="00A90241">
        <w:rPr>
          <w:rFonts w:ascii="Times New Roman" w:hAnsi="Times New Roman" w:cs="Times New Roman"/>
          <w:sz w:val="24"/>
          <w:szCs w:val="24"/>
        </w:rPr>
        <w:t xml:space="preserve"> at all levels, including within the Chinese HRFS industry.</w:t>
      </w:r>
    </w:p>
    <w:p w:rsidR="00A90241" w:rsidRPr="00A90241" w:rsidRDefault="00A90241" w:rsidP="00A90241">
      <w:pPr>
        <w:pStyle w:val="Heading5"/>
        <w:numPr>
          <w:ilvl w:val="0"/>
          <w:numId w:val="0"/>
        </w:numPr>
        <w:ind w:left="1134" w:hanging="425"/>
        <w:rPr>
          <w:b/>
          <w:szCs w:val="24"/>
        </w:rPr>
      </w:pPr>
      <w:r w:rsidRPr="00A90241">
        <w:rPr>
          <w:b/>
          <w:szCs w:val="24"/>
        </w:rPr>
        <w:t xml:space="preserve"> </w:t>
      </w:r>
      <w:bookmarkStart w:id="7" w:name="_Toc92196612"/>
      <w:r w:rsidRPr="00A90241">
        <w:rPr>
          <w:b/>
          <w:szCs w:val="24"/>
        </w:rPr>
        <w:t>(C) Distortions in the HRFS market</w:t>
      </w:r>
      <w:bookmarkEnd w:id="7"/>
    </w:p>
    <w:p w:rsidR="00A90241" w:rsidRPr="00A90241" w:rsidRDefault="00A90241" w:rsidP="00A90241">
      <w:pPr>
        <w:numPr>
          <w:ilvl w:val="0"/>
          <w:numId w:val="1"/>
        </w:numPr>
        <w:spacing w:before="240" w:after="240" w:line="240" w:lineRule="auto"/>
        <w:jc w:val="both"/>
        <w:rPr>
          <w:rFonts w:ascii="Times New Roman" w:hAnsi="Times New Roman" w:cs="Times New Roman"/>
          <w:sz w:val="24"/>
          <w:szCs w:val="24"/>
        </w:rPr>
      </w:pPr>
      <w:r w:rsidRPr="00A90241">
        <w:rPr>
          <w:rFonts w:ascii="Times New Roman" w:hAnsi="Times New Roman" w:cs="Times New Roman"/>
          <w:sz w:val="24"/>
          <w:szCs w:val="24"/>
        </w:rPr>
        <w:t>The Commission’s anti-subsidy investigation confirmed that Chinese HRFS producers have been receiving subsidies from the Chinese local and central governments. The Commission’s investigation specifically confirmed that Chinese HRFS producers received, among others, credit support based on important public policy considerations, thereby overriding or leading to the complete absence of the credit risk assessment.</w:t>
      </w:r>
      <w:r w:rsidRPr="00A90241">
        <w:rPr>
          <w:rFonts w:ascii="Times New Roman" w:hAnsi="Times New Roman" w:cs="Times New Roman"/>
          <w:sz w:val="24"/>
          <w:szCs w:val="24"/>
          <w:vertAlign w:val="superscript"/>
        </w:rPr>
        <w:footnoteReference w:id="37"/>
      </w:r>
      <w:r w:rsidRPr="00A90241">
        <w:rPr>
          <w:rFonts w:ascii="Times New Roman" w:hAnsi="Times New Roman" w:cs="Times New Roman"/>
          <w:sz w:val="24"/>
          <w:szCs w:val="24"/>
        </w:rPr>
        <w:t xml:space="preserve"> Chinese HRFS producers were also found to benefit from VAT exemptions</w:t>
      </w:r>
      <w:r w:rsidRPr="00A90241">
        <w:rPr>
          <w:rFonts w:ascii="Times New Roman" w:hAnsi="Times New Roman" w:cs="Times New Roman"/>
          <w:sz w:val="24"/>
          <w:szCs w:val="24"/>
          <w:vertAlign w:val="superscript"/>
        </w:rPr>
        <w:footnoteReference w:id="38"/>
      </w:r>
      <w:r w:rsidRPr="00A90241">
        <w:rPr>
          <w:rFonts w:ascii="Times New Roman" w:hAnsi="Times New Roman" w:cs="Times New Roman"/>
          <w:sz w:val="24"/>
          <w:szCs w:val="24"/>
        </w:rPr>
        <w:t xml:space="preserve"> and from an enterprise income tax deduction if the final product such as iron and power/heat, resulting from the processing of certain raw materials, had been</w:t>
      </w:r>
      <w:r w:rsidRPr="00A90241">
        <w:rPr>
          <w:rFonts w:ascii="Times New Roman" w:hAnsi="Times New Roman" w:cs="Times New Roman"/>
          <w:i/>
          <w:sz w:val="24"/>
          <w:szCs w:val="24"/>
        </w:rPr>
        <w:t xml:space="preserve"> </w:t>
      </w:r>
      <w:r w:rsidRPr="00A90241">
        <w:rPr>
          <w:rFonts w:ascii="Times New Roman" w:hAnsi="Times New Roman" w:cs="Times New Roman"/>
          <w:sz w:val="24"/>
          <w:szCs w:val="24"/>
        </w:rPr>
        <w:t>“</w:t>
      </w:r>
      <w:r w:rsidRPr="00A90241">
        <w:rPr>
          <w:rFonts w:ascii="Times New Roman" w:hAnsi="Times New Roman" w:cs="Times New Roman"/>
          <w:i/>
          <w:sz w:val="24"/>
          <w:szCs w:val="24"/>
        </w:rPr>
        <w:t>produced in accordance with the relevant national or industrial standards specified in the</w:t>
      </w:r>
      <w:r w:rsidRPr="00A90241">
        <w:rPr>
          <w:rFonts w:ascii="Times New Roman" w:hAnsi="Times New Roman" w:cs="Times New Roman"/>
          <w:sz w:val="24"/>
          <w:szCs w:val="24"/>
        </w:rPr>
        <w:t xml:space="preserve"> [</w:t>
      </w:r>
      <w:r w:rsidRPr="00A90241">
        <w:rPr>
          <w:rFonts w:ascii="Times New Roman" w:hAnsi="Times New Roman" w:cs="Times New Roman"/>
          <w:i/>
          <w:sz w:val="24"/>
          <w:szCs w:val="24"/>
        </w:rPr>
        <w:t>Catalogue of Enterprise Income Tax Preference for Synergistic Utilisation</w:t>
      </w:r>
      <w:r w:rsidRPr="00A90241">
        <w:rPr>
          <w:rFonts w:ascii="Times New Roman" w:hAnsi="Times New Roman" w:cs="Times New Roman"/>
          <w:sz w:val="24"/>
          <w:szCs w:val="24"/>
        </w:rPr>
        <w:t>]”.</w:t>
      </w:r>
      <w:r w:rsidRPr="00A90241">
        <w:rPr>
          <w:rFonts w:ascii="Times New Roman" w:hAnsi="Times New Roman" w:cs="Times New Roman"/>
          <w:sz w:val="24"/>
          <w:szCs w:val="24"/>
          <w:vertAlign w:val="superscript"/>
        </w:rPr>
        <w:footnoteReference w:id="39"/>
      </w:r>
      <w:r w:rsidRPr="00A90241">
        <w:rPr>
          <w:rFonts w:ascii="Times New Roman" w:hAnsi="Times New Roman" w:cs="Times New Roman"/>
          <w:sz w:val="24"/>
          <w:szCs w:val="24"/>
        </w:rPr>
        <w:t xml:space="preserve"> </w:t>
      </w:r>
    </w:p>
    <w:p w:rsidR="00A90241" w:rsidRPr="00A90241" w:rsidRDefault="00A90241" w:rsidP="00A90241">
      <w:pPr>
        <w:pStyle w:val="ListParagraph"/>
        <w:numPr>
          <w:ilvl w:val="0"/>
          <w:numId w:val="1"/>
        </w:numPr>
        <w:spacing w:before="240" w:after="240"/>
        <w:jc w:val="both"/>
        <w:rPr>
          <w:lang w:val="en-GB"/>
        </w:rPr>
      </w:pPr>
      <w:r w:rsidRPr="00A90241">
        <w:rPr>
          <w:lang w:val="en-GB"/>
        </w:rPr>
        <w:t xml:space="preserve">Since the CVD duties </w:t>
      </w:r>
      <w:proofErr w:type="gramStart"/>
      <w:r w:rsidRPr="00A90241">
        <w:rPr>
          <w:lang w:val="en-GB"/>
        </w:rPr>
        <w:t>were put</w:t>
      </w:r>
      <w:proofErr w:type="gramEnd"/>
      <w:r w:rsidRPr="00A90241">
        <w:rPr>
          <w:lang w:val="en-GB"/>
        </w:rPr>
        <w:t xml:space="preserve"> in place,</w:t>
      </w:r>
      <w:r w:rsidRPr="00A90241">
        <w:rPr>
          <w:vertAlign w:val="superscript"/>
          <w:lang w:val="en-GB"/>
        </w:rPr>
        <w:footnoteReference w:id="40"/>
      </w:r>
      <w:r w:rsidRPr="00A90241">
        <w:rPr>
          <w:lang w:val="en-GB"/>
        </w:rPr>
        <w:t xml:space="preserve"> the Chinese government has continued to award subsidies to the HRFS industry in several forms, such as cash grants, control of raw material prices, preferential loans, land use subsidies, lax enforcement of environmental regulation, government mandated mergers and acquisitions, and equity infusions and conversions. </w:t>
      </w:r>
    </w:p>
    <w:p w:rsidR="00A90241" w:rsidRPr="00A90241" w:rsidRDefault="00A90241" w:rsidP="00A90241">
      <w:pPr>
        <w:numPr>
          <w:ilvl w:val="0"/>
          <w:numId w:val="1"/>
        </w:numPr>
        <w:spacing w:before="240" w:after="240" w:line="240" w:lineRule="auto"/>
        <w:jc w:val="both"/>
        <w:rPr>
          <w:rFonts w:ascii="Times New Roman" w:hAnsi="Times New Roman" w:cs="Times New Roman"/>
          <w:sz w:val="24"/>
          <w:szCs w:val="24"/>
        </w:rPr>
      </w:pPr>
      <w:r w:rsidRPr="00A90241">
        <w:rPr>
          <w:rFonts w:ascii="Times New Roman" w:hAnsi="Times New Roman" w:cs="Times New Roman"/>
          <w:sz w:val="24"/>
          <w:szCs w:val="24"/>
        </w:rPr>
        <w:t>Several Chinese HRFS producers received cash grants in 2019 and 2020. For instance, the applicants identified that Chongqing Iron &amp; Steel Company Ltd. received 196.4 million RMB in 2020 and 144.8 million RMB in 2019 in governments grants related the ordinary course of business, detailed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4"/>
        <w:gridCol w:w="996"/>
        <w:gridCol w:w="996"/>
      </w:tblGrid>
      <w:tr w:rsidR="00A90241" w:rsidRPr="00A90241" w:rsidTr="00F70FB8">
        <w:trPr>
          <w:trHeight w:val="57"/>
        </w:trPr>
        <w:tc>
          <w:tcPr>
            <w:tcW w:w="7087" w:type="dxa"/>
            <w:shd w:val="clear" w:color="auto" w:fill="000000"/>
            <w:vAlign w:val="center"/>
          </w:tcPr>
          <w:p w:rsidR="00A90241" w:rsidRPr="00A90241" w:rsidRDefault="00A90241" w:rsidP="00F70FB8">
            <w:pPr>
              <w:spacing w:before="240"/>
              <w:rPr>
                <w:rFonts w:ascii="Times New Roman" w:hAnsi="Times New Roman" w:cs="Times New Roman"/>
                <w:b/>
                <w:sz w:val="24"/>
                <w:szCs w:val="24"/>
              </w:rPr>
            </w:pPr>
            <w:r w:rsidRPr="00A90241">
              <w:rPr>
                <w:rFonts w:ascii="Times New Roman" w:hAnsi="Times New Roman" w:cs="Times New Roman"/>
                <w:b/>
                <w:sz w:val="24"/>
                <w:szCs w:val="24"/>
              </w:rPr>
              <w:t>Cash grants received by Chongqing Iron &amp; Steel Company Ltd.</w:t>
            </w:r>
            <w:r w:rsidRPr="00A90241">
              <w:rPr>
                <w:rStyle w:val="FootnoteReference"/>
                <w:rFonts w:ascii="Times New Roman" w:hAnsi="Times New Roman" w:cs="Times New Roman"/>
                <w:b/>
                <w:sz w:val="24"/>
                <w:szCs w:val="24"/>
              </w:rPr>
              <w:footnoteReference w:id="41"/>
            </w:r>
            <w:r w:rsidRPr="00A90241">
              <w:rPr>
                <w:rFonts w:ascii="Times New Roman" w:hAnsi="Times New Roman" w:cs="Times New Roman"/>
                <w:b/>
                <w:sz w:val="24"/>
                <w:szCs w:val="24"/>
              </w:rPr>
              <w:t xml:space="preserve"> (in thousand RMB)</w:t>
            </w:r>
          </w:p>
        </w:tc>
        <w:tc>
          <w:tcPr>
            <w:tcW w:w="0" w:type="auto"/>
            <w:shd w:val="clear" w:color="auto" w:fill="000000"/>
            <w:vAlign w:val="center"/>
          </w:tcPr>
          <w:p w:rsidR="00A90241" w:rsidRPr="00A90241" w:rsidRDefault="00A90241" w:rsidP="00F70FB8">
            <w:pPr>
              <w:spacing w:before="240"/>
              <w:rPr>
                <w:rFonts w:ascii="Times New Roman" w:hAnsi="Times New Roman" w:cs="Times New Roman"/>
                <w:b/>
                <w:sz w:val="24"/>
                <w:szCs w:val="24"/>
              </w:rPr>
            </w:pPr>
            <w:r w:rsidRPr="00A90241">
              <w:rPr>
                <w:rFonts w:ascii="Times New Roman" w:hAnsi="Times New Roman" w:cs="Times New Roman"/>
                <w:b/>
                <w:sz w:val="24"/>
                <w:szCs w:val="24"/>
              </w:rPr>
              <w:t>2020</w:t>
            </w:r>
          </w:p>
        </w:tc>
        <w:tc>
          <w:tcPr>
            <w:tcW w:w="0" w:type="auto"/>
            <w:shd w:val="clear" w:color="auto" w:fill="000000"/>
            <w:vAlign w:val="center"/>
          </w:tcPr>
          <w:p w:rsidR="00A90241" w:rsidRPr="00A90241" w:rsidRDefault="00A90241" w:rsidP="00F70FB8">
            <w:pPr>
              <w:spacing w:before="240"/>
              <w:rPr>
                <w:rFonts w:ascii="Times New Roman" w:hAnsi="Times New Roman" w:cs="Times New Roman"/>
                <w:b/>
                <w:sz w:val="24"/>
                <w:szCs w:val="24"/>
              </w:rPr>
            </w:pPr>
            <w:r w:rsidRPr="00A90241">
              <w:rPr>
                <w:rFonts w:ascii="Times New Roman" w:hAnsi="Times New Roman" w:cs="Times New Roman"/>
                <w:b/>
                <w:sz w:val="24"/>
                <w:szCs w:val="24"/>
              </w:rPr>
              <w:t>2019</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Special funds for industrial development</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73,821</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w:t>
            </w:r>
          </w:p>
        </w:tc>
      </w:tr>
      <w:tr w:rsidR="00A90241" w:rsidRPr="00A90241" w:rsidTr="00F70FB8">
        <w:trPr>
          <w:trHeight w:val="630"/>
        </w:trPr>
        <w:tc>
          <w:tcPr>
            <w:tcW w:w="7087" w:type="dxa"/>
            <w:shd w:val="clear" w:color="auto" w:fill="auto"/>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Government grants related to the ordinary course of business</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196,430</w:t>
            </w:r>
          </w:p>
          <w:p w:rsidR="00A90241" w:rsidRPr="00A90241" w:rsidRDefault="00A90241" w:rsidP="00F70FB8">
            <w:pPr>
              <w:spacing w:before="240"/>
              <w:rPr>
                <w:rFonts w:ascii="Times New Roman" w:hAnsi="Times New Roman" w:cs="Times New Roman"/>
                <w:sz w:val="24"/>
                <w:szCs w:val="24"/>
              </w:rPr>
            </w:pP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lastRenderedPageBreak/>
              <w:t>144,872</w:t>
            </w:r>
          </w:p>
          <w:p w:rsidR="00A90241" w:rsidRPr="00A90241" w:rsidRDefault="00A90241" w:rsidP="00F70FB8">
            <w:pPr>
              <w:spacing w:before="240"/>
              <w:rPr>
                <w:rFonts w:ascii="Times New Roman" w:hAnsi="Times New Roman" w:cs="Times New Roman"/>
                <w:sz w:val="24"/>
                <w:szCs w:val="24"/>
              </w:rPr>
            </w:pP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lastRenderedPageBreak/>
              <w:t>Grants for recycle heat power project</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2,250</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2,250</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Special fund for industrial development</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144,000</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73,821</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Position stability subsidies</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4,360</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53,957</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Subsidies for product R&amp;D</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12,910</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13,890</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Innovation-driven project rewards</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11,183</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Tax refund</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19,761</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Others (related to assets</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119</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954</w:t>
            </w:r>
          </w:p>
        </w:tc>
      </w:tr>
      <w:tr w:rsidR="00A90241" w:rsidRPr="00A90241" w:rsidTr="00F70FB8">
        <w:trPr>
          <w:trHeight w:val="57"/>
        </w:trPr>
        <w:tc>
          <w:tcPr>
            <w:tcW w:w="7087" w:type="dxa"/>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Others (related to income</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1,847</w:t>
            </w:r>
          </w:p>
        </w:tc>
        <w:tc>
          <w:tcPr>
            <w:tcW w:w="0" w:type="auto"/>
            <w:shd w:val="clear" w:color="auto" w:fill="auto"/>
            <w:vAlign w:val="center"/>
          </w:tcPr>
          <w:p w:rsidR="00A90241" w:rsidRPr="00A90241" w:rsidRDefault="00A90241" w:rsidP="00F70FB8">
            <w:pPr>
              <w:spacing w:before="240"/>
              <w:rPr>
                <w:rFonts w:ascii="Times New Roman" w:hAnsi="Times New Roman" w:cs="Times New Roman"/>
                <w:sz w:val="24"/>
                <w:szCs w:val="24"/>
              </w:rPr>
            </w:pPr>
            <w:r w:rsidRPr="00A90241">
              <w:rPr>
                <w:rFonts w:ascii="Times New Roman" w:hAnsi="Times New Roman" w:cs="Times New Roman"/>
                <w:sz w:val="24"/>
                <w:szCs w:val="24"/>
              </w:rPr>
              <w:t>-</w:t>
            </w:r>
          </w:p>
        </w:tc>
      </w:tr>
    </w:tbl>
    <w:p w:rsidR="00A90241" w:rsidRPr="00A90241" w:rsidRDefault="00A90241" w:rsidP="00A90241">
      <w:pPr>
        <w:spacing w:before="240"/>
        <w:jc w:val="right"/>
        <w:rPr>
          <w:rFonts w:ascii="Times New Roman" w:hAnsi="Times New Roman" w:cs="Times New Roman"/>
          <w:sz w:val="24"/>
          <w:szCs w:val="24"/>
        </w:rPr>
      </w:pPr>
      <w:r w:rsidRPr="00A90241">
        <w:rPr>
          <w:rFonts w:ascii="Times New Roman" w:hAnsi="Times New Roman" w:cs="Times New Roman"/>
          <w:sz w:val="24"/>
          <w:szCs w:val="24"/>
        </w:rPr>
        <w:t>Source: Chongqing Iron &amp; Steel Company Ltd, Annual Report 2020, p. 292.</w:t>
      </w:r>
    </w:p>
    <w:p w:rsidR="00A90241" w:rsidRPr="00A90241" w:rsidRDefault="00A90241" w:rsidP="00A90241">
      <w:pPr>
        <w:numPr>
          <w:ilvl w:val="0"/>
          <w:numId w:val="1"/>
        </w:numPr>
        <w:spacing w:before="240" w:after="240" w:line="240" w:lineRule="auto"/>
        <w:jc w:val="both"/>
        <w:rPr>
          <w:rFonts w:ascii="Times New Roman" w:hAnsi="Times New Roman" w:cs="Times New Roman"/>
          <w:sz w:val="24"/>
          <w:szCs w:val="24"/>
        </w:rPr>
      </w:pPr>
      <w:proofErr w:type="spellStart"/>
      <w:r w:rsidRPr="00A90241">
        <w:rPr>
          <w:rFonts w:ascii="Times New Roman" w:hAnsi="Times New Roman" w:cs="Times New Roman"/>
          <w:sz w:val="24"/>
          <w:szCs w:val="24"/>
        </w:rPr>
        <w:t>Maanshan</w:t>
      </w:r>
      <w:proofErr w:type="spellEnd"/>
      <w:r w:rsidRPr="00A90241">
        <w:rPr>
          <w:rFonts w:ascii="Times New Roman" w:hAnsi="Times New Roman" w:cs="Times New Roman"/>
          <w:sz w:val="24"/>
          <w:szCs w:val="24"/>
        </w:rPr>
        <w:t xml:space="preserve"> Iron &amp; Steel Company Limited received around 500 million RMB in government subsidies from Hefei Company for land purchasing.</w:t>
      </w:r>
      <w:r w:rsidRPr="00A90241">
        <w:rPr>
          <w:rStyle w:val="FootnoteReference"/>
          <w:rFonts w:ascii="Times New Roman" w:hAnsi="Times New Roman" w:cs="Times New Roman"/>
          <w:sz w:val="24"/>
          <w:szCs w:val="24"/>
        </w:rPr>
        <w:footnoteReference w:id="42"/>
      </w:r>
      <w:r w:rsidRPr="00A90241">
        <w:rPr>
          <w:rFonts w:ascii="Times New Roman" w:hAnsi="Times New Roman" w:cs="Times New Roman"/>
          <w:sz w:val="24"/>
          <w:szCs w:val="24"/>
        </w:rPr>
        <w:t xml:space="preserve"> </w:t>
      </w:r>
      <w:proofErr w:type="spellStart"/>
      <w:r w:rsidRPr="00A90241">
        <w:rPr>
          <w:rFonts w:ascii="Times New Roman" w:hAnsi="Times New Roman" w:cs="Times New Roman"/>
          <w:sz w:val="24"/>
          <w:szCs w:val="24"/>
        </w:rPr>
        <w:t>Angang</w:t>
      </w:r>
      <w:proofErr w:type="spellEnd"/>
      <w:r w:rsidRPr="00A90241">
        <w:rPr>
          <w:rFonts w:ascii="Times New Roman" w:hAnsi="Times New Roman" w:cs="Times New Roman"/>
          <w:sz w:val="24"/>
          <w:szCs w:val="24"/>
        </w:rPr>
        <w:t xml:space="preserve"> Steel Company was also awarded millions in government grants, detailed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2"/>
        <w:gridCol w:w="914"/>
        <w:gridCol w:w="984"/>
        <w:gridCol w:w="838"/>
        <w:gridCol w:w="968"/>
      </w:tblGrid>
      <w:tr w:rsidR="00A90241" w:rsidRPr="00A90241" w:rsidTr="00F70FB8">
        <w:tc>
          <w:tcPr>
            <w:tcW w:w="5048" w:type="dxa"/>
            <w:shd w:val="clear" w:color="auto" w:fill="000000"/>
          </w:tcPr>
          <w:p w:rsidR="00A90241" w:rsidRPr="00A90241" w:rsidRDefault="00A90241" w:rsidP="00F70FB8">
            <w:pPr>
              <w:spacing w:before="240"/>
              <w:jc w:val="center"/>
              <w:rPr>
                <w:rFonts w:ascii="Times New Roman" w:hAnsi="Times New Roman" w:cs="Times New Roman"/>
                <w:b/>
                <w:sz w:val="24"/>
                <w:szCs w:val="24"/>
              </w:rPr>
            </w:pPr>
            <w:r w:rsidRPr="00A90241">
              <w:rPr>
                <w:rFonts w:ascii="Times New Roman" w:hAnsi="Times New Roman" w:cs="Times New Roman"/>
                <w:b/>
                <w:sz w:val="24"/>
                <w:szCs w:val="24"/>
              </w:rPr>
              <w:t xml:space="preserve">Cash grants received by </w:t>
            </w:r>
            <w:proofErr w:type="spellStart"/>
            <w:r w:rsidRPr="00A90241">
              <w:rPr>
                <w:rFonts w:ascii="Times New Roman" w:hAnsi="Times New Roman" w:cs="Times New Roman"/>
                <w:b/>
                <w:sz w:val="24"/>
                <w:szCs w:val="24"/>
              </w:rPr>
              <w:t>Angang</w:t>
            </w:r>
            <w:proofErr w:type="spellEnd"/>
            <w:r w:rsidRPr="00A90241">
              <w:rPr>
                <w:rFonts w:ascii="Times New Roman" w:hAnsi="Times New Roman" w:cs="Times New Roman"/>
                <w:b/>
                <w:sz w:val="24"/>
                <w:szCs w:val="24"/>
              </w:rPr>
              <w:t xml:space="preserve"> Steel Company</w:t>
            </w:r>
            <w:r w:rsidRPr="00A90241">
              <w:rPr>
                <w:rStyle w:val="FootnoteReference"/>
                <w:rFonts w:ascii="Times New Roman" w:hAnsi="Times New Roman" w:cs="Times New Roman"/>
                <w:b/>
                <w:sz w:val="24"/>
                <w:szCs w:val="24"/>
              </w:rPr>
              <w:footnoteReference w:id="43"/>
            </w:r>
            <w:r w:rsidRPr="00A90241">
              <w:rPr>
                <w:rFonts w:ascii="Times New Roman" w:hAnsi="Times New Roman" w:cs="Times New Roman"/>
                <w:b/>
                <w:sz w:val="24"/>
                <w:szCs w:val="24"/>
              </w:rPr>
              <w:t xml:space="preserve"> (in million RMB)</w:t>
            </w:r>
          </w:p>
        </w:tc>
        <w:tc>
          <w:tcPr>
            <w:tcW w:w="946" w:type="dxa"/>
            <w:shd w:val="clear" w:color="auto" w:fill="000000"/>
          </w:tcPr>
          <w:p w:rsidR="00A90241" w:rsidRPr="00A90241" w:rsidRDefault="00A90241" w:rsidP="00F70FB8">
            <w:pPr>
              <w:spacing w:before="240"/>
              <w:jc w:val="center"/>
              <w:rPr>
                <w:rFonts w:ascii="Times New Roman" w:hAnsi="Times New Roman" w:cs="Times New Roman"/>
                <w:b/>
                <w:sz w:val="24"/>
                <w:szCs w:val="24"/>
              </w:rPr>
            </w:pPr>
            <w:r w:rsidRPr="00A90241">
              <w:rPr>
                <w:rFonts w:ascii="Times New Roman" w:hAnsi="Times New Roman" w:cs="Times New Roman"/>
                <w:b/>
                <w:sz w:val="24"/>
                <w:szCs w:val="24"/>
              </w:rPr>
              <w:t>2020</w:t>
            </w:r>
          </w:p>
        </w:tc>
        <w:tc>
          <w:tcPr>
            <w:tcW w:w="1025" w:type="dxa"/>
            <w:shd w:val="clear" w:color="auto" w:fill="000000"/>
          </w:tcPr>
          <w:p w:rsidR="00A90241" w:rsidRPr="00A90241" w:rsidRDefault="00A90241" w:rsidP="00F70FB8">
            <w:pPr>
              <w:spacing w:before="240"/>
              <w:jc w:val="center"/>
              <w:rPr>
                <w:rFonts w:ascii="Times New Roman" w:hAnsi="Times New Roman" w:cs="Times New Roman"/>
                <w:b/>
                <w:sz w:val="24"/>
                <w:szCs w:val="24"/>
              </w:rPr>
            </w:pPr>
            <w:r w:rsidRPr="00A90241">
              <w:rPr>
                <w:rFonts w:ascii="Times New Roman" w:hAnsi="Times New Roman" w:cs="Times New Roman"/>
                <w:b/>
                <w:sz w:val="24"/>
                <w:szCs w:val="24"/>
              </w:rPr>
              <w:t>2019</w:t>
            </w:r>
          </w:p>
        </w:tc>
        <w:tc>
          <w:tcPr>
            <w:tcW w:w="858" w:type="dxa"/>
            <w:shd w:val="clear" w:color="auto" w:fill="000000"/>
          </w:tcPr>
          <w:p w:rsidR="00A90241" w:rsidRPr="00A90241" w:rsidRDefault="00A90241" w:rsidP="00F70FB8">
            <w:pPr>
              <w:spacing w:before="240"/>
              <w:jc w:val="center"/>
              <w:rPr>
                <w:rFonts w:ascii="Times New Roman" w:hAnsi="Times New Roman" w:cs="Times New Roman"/>
                <w:b/>
                <w:sz w:val="24"/>
                <w:szCs w:val="24"/>
              </w:rPr>
            </w:pPr>
            <w:r w:rsidRPr="00A90241">
              <w:rPr>
                <w:rFonts w:ascii="Times New Roman" w:hAnsi="Times New Roman" w:cs="Times New Roman"/>
                <w:b/>
                <w:sz w:val="24"/>
                <w:szCs w:val="24"/>
              </w:rPr>
              <w:t>2018</w:t>
            </w:r>
          </w:p>
        </w:tc>
        <w:tc>
          <w:tcPr>
            <w:tcW w:w="975" w:type="dxa"/>
            <w:shd w:val="clear" w:color="auto" w:fill="000000"/>
          </w:tcPr>
          <w:p w:rsidR="00A90241" w:rsidRPr="00A90241" w:rsidRDefault="00A90241" w:rsidP="00F70FB8">
            <w:pPr>
              <w:spacing w:before="240"/>
              <w:jc w:val="center"/>
              <w:rPr>
                <w:rFonts w:ascii="Times New Roman" w:hAnsi="Times New Roman" w:cs="Times New Roman"/>
                <w:b/>
                <w:sz w:val="24"/>
                <w:szCs w:val="24"/>
              </w:rPr>
            </w:pPr>
            <w:r w:rsidRPr="00A90241">
              <w:rPr>
                <w:rFonts w:ascii="Times New Roman" w:hAnsi="Times New Roman" w:cs="Times New Roman"/>
                <w:b/>
                <w:sz w:val="24"/>
                <w:szCs w:val="24"/>
              </w:rPr>
              <w:t>Type</w:t>
            </w:r>
          </w:p>
        </w:tc>
      </w:tr>
      <w:tr w:rsidR="00A90241" w:rsidRPr="00A90241" w:rsidTr="00F70FB8">
        <w:tc>
          <w:tcPr>
            <w:tcW w:w="5048"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Government grants related to environment protection</w:t>
            </w:r>
          </w:p>
        </w:tc>
        <w:tc>
          <w:tcPr>
            <w:tcW w:w="946"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41</w:t>
            </w:r>
          </w:p>
        </w:tc>
        <w:tc>
          <w:tcPr>
            <w:tcW w:w="1025"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40</w:t>
            </w:r>
          </w:p>
        </w:tc>
        <w:tc>
          <w:tcPr>
            <w:tcW w:w="858"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w:t>
            </w:r>
          </w:p>
        </w:tc>
        <w:tc>
          <w:tcPr>
            <w:tcW w:w="975"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 income</w:t>
            </w:r>
          </w:p>
        </w:tc>
      </w:tr>
      <w:tr w:rsidR="00A90241" w:rsidRPr="00A90241" w:rsidTr="00F70FB8">
        <w:tc>
          <w:tcPr>
            <w:tcW w:w="5048"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Government grants related to scientific research</w:t>
            </w:r>
          </w:p>
        </w:tc>
        <w:tc>
          <w:tcPr>
            <w:tcW w:w="946"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23</w:t>
            </w:r>
          </w:p>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 xml:space="preserve"> </w:t>
            </w:r>
          </w:p>
        </w:tc>
        <w:tc>
          <w:tcPr>
            <w:tcW w:w="1025"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31</w:t>
            </w:r>
          </w:p>
          <w:p w:rsidR="00A90241" w:rsidRPr="00A90241" w:rsidRDefault="00A90241" w:rsidP="00F70FB8">
            <w:pPr>
              <w:spacing w:before="240"/>
              <w:jc w:val="both"/>
              <w:rPr>
                <w:rFonts w:ascii="Times New Roman" w:hAnsi="Times New Roman" w:cs="Times New Roman"/>
                <w:sz w:val="24"/>
                <w:szCs w:val="24"/>
              </w:rPr>
            </w:pPr>
          </w:p>
        </w:tc>
        <w:tc>
          <w:tcPr>
            <w:tcW w:w="858"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w:t>
            </w:r>
          </w:p>
        </w:tc>
        <w:tc>
          <w:tcPr>
            <w:tcW w:w="975"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 income</w:t>
            </w:r>
          </w:p>
        </w:tc>
      </w:tr>
      <w:tr w:rsidR="00A90241" w:rsidRPr="00A90241" w:rsidTr="00F70FB8">
        <w:tc>
          <w:tcPr>
            <w:tcW w:w="5048"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Others</w:t>
            </w:r>
          </w:p>
        </w:tc>
        <w:tc>
          <w:tcPr>
            <w:tcW w:w="946"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18</w:t>
            </w:r>
          </w:p>
        </w:tc>
        <w:tc>
          <w:tcPr>
            <w:tcW w:w="1025"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12</w:t>
            </w:r>
          </w:p>
        </w:tc>
        <w:tc>
          <w:tcPr>
            <w:tcW w:w="858"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w:t>
            </w:r>
          </w:p>
        </w:tc>
        <w:tc>
          <w:tcPr>
            <w:tcW w:w="975"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 income</w:t>
            </w:r>
          </w:p>
        </w:tc>
      </w:tr>
      <w:tr w:rsidR="00A90241" w:rsidRPr="00A90241" w:rsidTr="00F70FB8">
        <w:tc>
          <w:tcPr>
            <w:tcW w:w="5048"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lastRenderedPageBreak/>
              <w:t>Government grants related to environment protection</w:t>
            </w:r>
          </w:p>
        </w:tc>
        <w:tc>
          <w:tcPr>
            <w:tcW w:w="946"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w:t>
            </w:r>
          </w:p>
        </w:tc>
        <w:tc>
          <w:tcPr>
            <w:tcW w:w="1025"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137</w:t>
            </w:r>
          </w:p>
        </w:tc>
        <w:tc>
          <w:tcPr>
            <w:tcW w:w="858"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178</w:t>
            </w:r>
          </w:p>
        </w:tc>
        <w:tc>
          <w:tcPr>
            <w:tcW w:w="975"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 income</w:t>
            </w:r>
          </w:p>
        </w:tc>
      </w:tr>
      <w:tr w:rsidR="00A90241" w:rsidRPr="00A90241" w:rsidTr="00F70FB8">
        <w:tc>
          <w:tcPr>
            <w:tcW w:w="5048"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Government grants related to scientific research</w:t>
            </w:r>
          </w:p>
        </w:tc>
        <w:tc>
          <w:tcPr>
            <w:tcW w:w="946"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w:t>
            </w:r>
          </w:p>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 xml:space="preserve"> </w:t>
            </w:r>
          </w:p>
        </w:tc>
        <w:tc>
          <w:tcPr>
            <w:tcW w:w="1025"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294</w:t>
            </w:r>
          </w:p>
          <w:p w:rsidR="00A90241" w:rsidRPr="00A90241" w:rsidRDefault="00A90241" w:rsidP="00F70FB8">
            <w:pPr>
              <w:spacing w:before="240"/>
              <w:jc w:val="both"/>
              <w:rPr>
                <w:rFonts w:ascii="Times New Roman" w:hAnsi="Times New Roman" w:cs="Times New Roman"/>
                <w:sz w:val="24"/>
                <w:szCs w:val="24"/>
              </w:rPr>
            </w:pPr>
          </w:p>
        </w:tc>
        <w:tc>
          <w:tcPr>
            <w:tcW w:w="858"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178</w:t>
            </w:r>
          </w:p>
        </w:tc>
        <w:tc>
          <w:tcPr>
            <w:tcW w:w="975"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 income</w:t>
            </w:r>
          </w:p>
        </w:tc>
      </w:tr>
      <w:tr w:rsidR="00A90241" w:rsidRPr="00A90241" w:rsidTr="00F70FB8">
        <w:tc>
          <w:tcPr>
            <w:tcW w:w="5048"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Others</w:t>
            </w:r>
          </w:p>
        </w:tc>
        <w:tc>
          <w:tcPr>
            <w:tcW w:w="946"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w:t>
            </w:r>
          </w:p>
        </w:tc>
        <w:tc>
          <w:tcPr>
            <w:tcW w:w="1025" w:type="dxa"/>
            <w:shd w:val="clear" w:color="auto" w:fill="auto"/>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153</w:t>
            </w:r>
          </w:p>
        </w:tc>
        <w:tc>
          <w:tcPr>
            <w:tcW w:w="858"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154</w:t>
            </w:r>
          </w:p>
        </w:tc>
        <w:tc>
          <w:tcPr>
            <w:tcW w:w="975" w:type="dxa"/>
          </w:tcPr>
          <w:p w:rsidR="00A90241" w:rsidRPr="00A90241" w:rsidRDefault="00A90241" w:rsidP="00F70FB8">
            <w:pPr>
              <w:spacing w:before="240"/>
              <w:jc w:val="both"/>
              <w:rPr>
                <w:rFonts w:ascii="Times New Roman" w:hAnsi="Times New Roman" w:cs="Times New Roman"/>
                <w:sz w:val="24"/>
                <w:szCs w:val="24"/>
              </w:rPr>
            </w:pPr>
            <w:r w:rsidRPr="00A90241">
              <w:rPr>
                <w:rFonts w:ascii="Times New Roman" w:hAnsi="Times New Roman" w:cs="Times New Roman"/>
                <w:sz w:val="24"/>
                <w:szCs w:val="24"/>
              </w:rPr>
              <w:t>Other income</w:t>
            </w:r>
          </w:p>
        </w:tc>
      </w:tr>
    </w:tbl>
    <w:p w:rsidR="00A90241" w:rsidRPr="00A90241" w:rsidRDefault="00A90241" w:rsidP="00A90241">
      <w:pPr>
        <w:spacing w:before="240" w:after="240"/>
        <w:ind w:left="720"/>
        <w:jc w:val="right"/>
        <w:rPr>
          <w:rFonts w:ascii="Times New Roman" w:hAnsi="Times New Roman" w:cs="Times New Roman"/>
          <w:sz w:val="24"/>
          <w:szCs w:val="24"/>
        </w:rPr>
      </w:pPr>
      <w:r w:rsidRPr="00A90241">
        <w:rPr>
          <w:rFonts w:ascii="Times New Roman" w:hAnsi="Times New Roman" w:cs="Times New Roman"/>
          <w:sz w:val="24"/>
          <w:szCs w:val="24"/>
        </w:rPr>
        <w:t xml:space="preserve">Source: </w:t>
      </w:r>
      <w:proofErr w:type="spellStart"/>
      <w:r w:rsidRPr="00A90241">
        <w:rPr>
          <w:rFonts w:ascii="Times New Roman" w:hAnsi="Times New Roman" w:cs="Times New Roman"/>
          <w:sz w:val="24"/>
          <w:szCs w:val="24"/>
        </w:rPr>
        <w:t>Angang</w:t>
      </w:r>
      <w:proofErr w:type="spellEnd"/>
      <w:r w:rsidRPr="00A90241">
        <w:rPr>
          <w:rFonts w:ascii="Times New Roman" w:hAnsi="Times New Roman" w:cs="Times New Roman"/>
          <w:sz w:val="24"/>
          <w:szCs w:val="24"/>
        </w:rPr>
        <w:t xml:space="preserve"> Steel Company, Annual report 2020, page 296.</w:t>
      </w:r>
    </w:p>
    <w:p w:rsidR="00A90241" w:rsidRPr="00A90241" w:rsidRDefault="00A90241" w:rsidP="00A90241">
      <w:pPr>
        <w:pStyle w:val="ListParagraph"/>
        <w:numPr>
          <w:ilvl w:val="0"/>
          <w:numId w:val="1"/>
        </w:numPr>
        <w:spacing w:before="240" w:after="180"/>
        <w:jc w:val="both"/>
        <w:rPr>
          <w:lang w:val="en-GB"/>
        </w:rPr>
      </w:pPr>
      <w:r w:rsidRPr="00A90241">
        <w:rPr>
          <w:lang w:val="en-GB"/>
        </w:rPr>
        <w:t xml:space="preserve">It </w:t>
      </w:r>
      <w:proofErr w:type="gramStart"/>
      <w:r w:rsidRPr="00A90241">
        <w:rPr>
          <w:lang w:val="en-GB"/>
        </w:rPr>
        <w:t>should be added</w:t>
      </w:r>
      <w:proofErr w:type="gramEnd"/>
      <w:r w:rsidRPr="00A90241">
        <w:rPr>
          <w:lang w:val="en-GB"/>
        </w:rPr>
        <w:t xml:space="preserve"> that companies often received cash grants as a compensation for mandated mergers. One of the ways the Chinese government encourages the development of the HRFS is by mandating mergers and acquisitions. Recently, restructuring in the industry led to the merger of </w:t>
      </w:r>
      <w:proofErr w:type="spellStart"/>
      <w:r w:rsidRPr="00A90241">
        <w:rPr>
          <w:lang w:val="en-GB"/>
        </w:rPr>
        <w:t>Baosteel</w:t>
      </w:r>
      <w:proofErr w:type="spellEnd"/>
      <w:r w:rsidRPr="00A90241">
        <w:rPr>
          <w:lang w:val="en-GB"/>
        </w:rPr>
        <w:t xml:space="preserve"> Group and Wuhan Iron and Steel, forming China </w:t>
      </w:r>
      <w:proofErr w:type="spellStart"/>
      <w:r w:rsidRPr="00A90241">
        <w:rPr>
          <w:lang w:val="en-GB"/>
        </w:rPr>
        <w:t>Baowu</w:t>
      </w:r>
      <w:proofErr w:type="spellEnd"/>
      <w:r w:rsidRPr="00A90241">
        <w:rPr>
          <w:lang w:val="en-GB"/>
        </w:rPr>
        <w:t xml:space="preserve"> Steel </w:t>
      </w:r>
      <w:proofErr w:type="spellStart"/>
      <w:r w:rsidRPr="00A90241">
        <w:rPr>
          <w:lang w:val="en-GB"/>
        </w:rPr>
        <w:t>Hroup</w:t>
      </w:r>
      <w:proofErr w:type="spellEnd"/>
      <w:r w:rsidRPr="00A90241">
        <w:rPr>
          <w:lang w:val="en-GB"/>
        </w:rPr>
        <w:t xml:space="preserve">, state-owned and China’s largest steel producer. The company has reached its goal of becoming the world’s largest steelmaker, with more than 100 million metric tons of annual output volume. China </w:t>
      </w:r>
      <w:proofErr w:type="spellStart"/>
      <w:r w:rsidRPr="00A90241">
        <w:rPr>
          <w:lang w:val="en-GB"/>
        </w:rPr>
        <w:t>Baowu</w:t>
      </w:r>
      <w:proofErr w:type="spellEnd"/>
      <w:r w:rsidRPr="00A90241">
        <w:rPr>
          <w:lang w:val="en-GB"/>
        </w:rPr>
        <w:t xml:space="preserve"> Steel </w:t>
      </w:r>
      <w:proofErr w:type="gramStart"/>
      <w:r w:rsidRPr="00A90241">
        <w:rPr>
          <w:lang w:val="en-GB"/>
        </w:rPr>
        <w:t>was designated</w:t>
      </w:r>
      <w:proofErr w:type="gramEnd"/>
      <w:r w:rsidRPr="00A90241">
        <w:rPr>
          <w:lang w:val="en-GB"/>
        </w:rPr>
        <w:t xml:space="preserve"> by the Chinese government to be an executor of its plan to reshape China’s steel industry and, as a result, in the past five years, the company has tripled its capacity by consolidating several regional steel companies.</w:t>
      </w:r>
      <w:r w:rsidRPr="00A90241">
        <w:rPr>
          <w:rStyle w:val="FootnoteReference"/>
          <w:lang w:val="en-GB"/>
        </w:rPr>
        <w:footnoteReference w:id="44"/>
      </w:r>
      <w:r w:rsidRPr="00A90241">
        <w:rPr>
          <w:lang w:val="en-GB"/>
        </w:rPr>
        <w:t xml:space="preserve"> This is likely to continue, as the Chinese government fixed as a priority in China’s 14</w:t>
      </w:r>
      <w:r w:rsidRPr="00A90241">
        <w:rPr>
          <w:vertAlign w:val="superscript"/>
          <w:lang w:val="en-GB"/>
        </w:rPr>
        <w:t>th</w:t>
      </w:r>
      <w:r w:rsidRPr="00A90241">
        <w:rPr>
          <w:lang w:val="en-GB"/>
        </w:rPr>
        <w:t xml:space="preserve"> five-year plan (2021-2025)</w:t>
      </w:r>
      <w:r w:rsidRPr="00A90241">
        <w:rPr>
          <w:rStyle w:val="FootnoteReference"/>
          <w:lang w:val="en-GB"/>
        </w:rPr>
        <w:footnoteReference w:id="45"/>
      </w:r>
      <w:r w:rsidRPr="00A90241">
        <w:rPr>
          <w:lang w:val="en-GB"/>
        </w:rPr>
        <w:t xml:space="preserve"> to enhance concentration of the steel industry. It targets 60% concentration for the top-ten producers and 40% for the top </w:t>
      </w:r>
      <w:proofErr w:type="gramStart"/>
      <w:r w:rsidRPr="00A90241">
        <w:rPr>
          <w:lang w:val="en-GB"/>
        </w:rPr>
        <w:t>five</w:t>
      </w:r>
      <w:proofErr w:type="gramEnd"/>
      <w:r w:rsidRPr="00A90241">
        <w:rPr>
          <w:lang w:val="en-GB"/>
        </w:rPr>
        <w:t>.</w:t>
      </w:r>
    </w:p>
    <w:p w:rsidR="00A90241" w:rsidRPr="00A90241" w:rsidRDefault="00A90241" w:rsidP="00A90241">
      <w:pPr>
        <w:numPr>
          <w:ilvl w:val="0"/>
          <w:numId w:val="1"/>
        </w:numPr>
        <w:spacing w:before="240" w:after="24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Besides more evident subsidization methods such as cash grants, another strategy of the government </w:t>
      </w:r>
      <w:proofErr w:type="gramStart"/>
      <w:r w:rsidRPr="00A90241">
        <w:rPr>
          <w:rFonts w:ascii="Times New Roman" w:hAnsi="Times New Roman" w:cs="Times New Roman"/>
          <w:sz w:val="24"/>
          <w:szCs w:val="24"/>
        </w:rPr>
        <w:t>to indirectly subsidize</w:t>
      </w:r>
      <w:proofErr w:type="gramEnd"/>
      <w:r w:rsidRPr="00A90241">
        <w:rPr>
          <w:rFonts w:ascii="Times New Roman" w:hAnsi="Times New Roman" w:cs="Times New Roman"/>
          <w:sz w:val="24"/>
          <w:szCs w:val="24"/>
        </w:rPr>
        <w:t xml:space="preserve"> HRFS producers is by controlling raw materials prices. The Chinese Government itself explained that coal export volumes are restricted through export quotas and exporters need to apply for an export license. In previous investigations, such as in </w:t>
      </w:r>
      <w:r w:rsidRPr="00A90241">
        <w:rPr>
          <w:rFonts w:ascii="Times New Roman" w:hAnsi="Times New Roman" w:cs="Times New Roman"/>
          <w:i/>
          <w:sz w:val="24"/>
          <w:szCs w:val="24"/>
        </w:rPr>
        <w:t>OCS from China</w:t>
      </w:r>
      <w:r w:rsidRPr="00A90241">
        <w:rPr>
          <w:rFonts w:ascii="Times New Roman" w:hAnsi="Times New Roman" w:cs="Times New Roman"/>
          <w:sz w:val="24"/>
          <w:szCs w:val="24"/>
          <w:vertAlign w:val="superscript"/>
        </w:rPr>
        <w:footnoteReference w:id="46"/>
      </w:r>
      <w:r w:rsidRPr="00A90241">
        <w:rPr>
          <w:rFonts w:ascii="Times New Roman" w:hAnsi="Times New Roman" w:cs="Times New Roman"/>
          <w:sz w:val="24"/>
          <w:szCs w:val="24"/>
        </w:rPr>
        <w:t>, the Commission has found that “</w:t>
      </w:r>
      <w:r w:rsidRPr="00A90241">
        <w:rPr>
          <w:rFonts w:ascii="Times New Roman" w:hAnsi="Times New Roman" w:cs="Times New Roman"/>
          <w:i/>
          <w:sz w:val="24"/>
          <w:szCs w:val="24"/>
        </w:rPr>
        <w:t>coke (together with iron ore, the major raw material to produce steel) is subject to quantitative restrictions on exports and to an export duty</w:t>
      </w:r>
      <w:r w:rsidRPr="00A90241">
        <w:rPr>
          <w:rFonts w:ascii="Times New Roman" w:hAnsi="Times New Roman" w:cs="Times New Roman"/>
          <w:sz w:val="24"/>
          <w:szCs w:val="24"/>
        </w:rPr>
        <w:t xml:space="preserve">.” This </w:t>
      </w:r>
      <w:proofErr w:type="gramStart"/>
      <w:r w:rsidRPr="00A90241">
        <w:rPr>
          <w:rFonts w:ascii="Times New Roman" w:hAnsi="Times New Roman" w:cs="Times New Roman"/>
          <w:sz w:val="24"/>
          <w:szCs w:val="24"/>
        </w:rPr>
        <w:t>was also recognized</w:t>
      </w:r>
      <w:proofErr w:type="gramEnd"/>
      <w:r w:rsidRPr="00A90241">
        <w:rPr>
          <w:rFonts w:ascii="Times New Roman" w:hAnsi="Times New Roman" w:cs="Times New Roman"/>
          <w:sz w:val="24"/>
          <w:szCs w:val="24"/>
        </w:rPr>
        <w:t xml:space="preserve"> in the HRFS CVD Regulation.</w:t>
      </w:r>
      <w:r w:rsidRPr="00A90241">
        <w:rPr>
          <w:rFonts w:ascii="Times New Roman" w:hAnsi="Times New Roman" w:cs="Times New Roman"/>
          <w:sz w:val="24"/>
          <w:szCs w:val="24"/>
          <w:vertAlign w:val="superscript"/>
        </w:rPr>
        <w:footnoteReference w:id="47"/>
      </w:r>
    </w:p>
    <w:p w:rsidR="00A90241" w:rsidRPr="00A90241" w:rsidRDefault="00A90241" w:rsidP="00A90241">
      <w:pPr>
        <w:pStyle w:val="ListParagraph"/>
        <w:numPr>
          <w:ilvl w:val="0"/>
          <w:numId w:val="1"/>
        </w:numPr>
        <w:spacing w:before="240" w:after="240"/>
        <w:jc w:val="both"/>
        <w:rPr>
          <w:lang w:val="en-GB"/>
        </w:rPr>
      </w:pPr>
      <w:r w:rsidRPr="00A90241">
        <w:rPr>
          <w:lang w:val="en-GB"/>
        </w:rPr>
        <w:t>The OECD database</w:t>
      </w:r>
      <w:r w:rsidRPr="00A90241">
        <w:t xml:space="preserve"> on export restrictions also reveals that China has been imposing an export tax on iron ore since the beginning of the record (in 2009).</w:t>
      </w:r>
      <w:r w:rsidRPr="00A90241">
        <w:rPr>
          <w:vertAlign w:val="superscript"/>
        </w:rPr>
        <w:footnoteReference w:id="48"/>
      </w:r>
      <w:r w:rsidRPr="00A90241">
        <w:t xml:space="preserve"> As for coking </w:t>
      </w:r>
      <w:r w:rsidRPr="00A90241">
        <w:rPr>
          <w:lang w:val="en-GB"/>
        </w:rPr>
        <w:t>coal</w:t>
      </w:r>
      <w:r w:rsidRPr="00A90241">
        <w:t xml:space="preserve">, China imposed an export tax until 2018, which switched to a non-automatic </w:t>
      </w:r>
      <w:proofErr w:type="gramStart"/>
      <w:r w:rsidRPr="00A90241">
        <w:t xml:space="preserve">export </w:t>
      </w:r>
      <w:r w:rsidRPr="00A90241">
        <w:lastRenderedPageBreak/>
        <w:t>licensing</w:t>
      </w:r>
      <w:proofErr w:type="gramEnd"/>
      <w:r w:rsidRPr="00A90241">
        <w:t xml:space="preserve"> requirement in 2019</w:t>
      </w:r>
      <w:r w:rsidRPr="00A90241">
        <w:rPr>
          <w:vertAlign w:val="superscript"/>
        </w:rPr>
        <w:footnoteReference w:id="49"/>
      </w:r>
      <w:r w:rsidRPr="00A90241">
        <w:t xml:space="preserve"> through 2020. Applicants warn that the OECD database only includes measures that </w:t>
      </w:r>
      <w:proofErr w:type="gramStart"/>
      <w:r w:rsidRPr="00A90241">
        <w:t>can be substantiated</w:t>
      </w:r>
      <w:proofErr w:type="gramEnd"/>
      <w:r w:rsidRPr="00A90241">
        <w:t xml:space="preserve"> from official sources,</w:t>
      </w:r>
      <w:r w:rsidRPr="00A90241">
        <w:rPr>
          <w:vertAlign w:val="superscript"/>
        </w:rPr>
        <w:footnoteReference w:id="50"/>
      </w:r>
      <w:r w:rsidRPr="00A90241">
        <w:t xml:space="preserve"> which casts doubt on its comprehensiveness in relation to the Chinese </w:t>
      </w:r>
      <w:r w:rsidRPr="00A90241">
        <w:rPr>
          <w:lang w:val="en-GB"/>
        </w:rPr>
        <w:t xml:space="preserve">measures. Finally, in 2018, the G20 Ministerial Report by the Global Forum on Steel Excess Capacity confirmed that, in China, production inputs such as iron ore and coking coal </w:t>
      </w:r>
      <w:proofErr w:type="gramStart"/>
      <w:r w:rsidRPr="00A90241">
        <w:rPr>
          <w:lang w:val="en-GB"/>
        </w:rPr>
        <w:t>were provided</w:t>
      </w:r>
      <w:proofErr w:type="gramEnd"/>
      <w:r w:rsidRPr="00A90241">
        <w:rPr>
          <w:lang w:val="en-GB"/>
        </w:rPr>
        <w:t xml:space="preserve"> below market price, and that China imposed export duties on, among others, iron ore.</w:t>
      </w:r>
    </w:p>
    <w:p w:rsidR="00A90241" w:rsidRPr="00A90241" w:rsidRDefault="00A90241" w:rsidP="00A90241">
      <w:pPr>
        <w:pStyle w:val="ListParagraph"/>
        <w:numPr>
          <w:ilvl w:val="0"/>
          <w:numId w:val="1"/>
        </w:numPr>
        <w:spacing w:before="240" w:after="180"/>
        <w:jc w:val="both"/>
        <w:rPr>
          <w:lang w:val="en-GB"/>
        </w:rPr>
      </w:pPr>
      <w:r w:rsidRPr="00A90241">
        <w:rPr>
          <w:lang w:val="en-GB"/>
        </w:rPr>
        <w:t xml:space="preserve">In fact, export duties on iron ore and other raw materials </w:t>
      </w:r>
      <w:proofErr w:type="gramStart"/>
      <w:r w:rsidRPr="00A90241">
        <w:rPr>
          <w:lang w:val="en-GB"/>
        </w:rPr>
        <w:t>are applied</w:t>
      </w:r>
      <w:proofErr w:type="gramEnd"/>
      <w:r w:rsidRPr="00A90241">
        <w:rPr>
          <w:lang w:val="en-GB"/>
        </w:rPr>
        <w:t xml:space="preserve"> to this day and will likely remain so, since securing supply of raw materials to the domestic steel industry is one of the priorities of the Chinese 14</w:t>
      </w:r>
      <w:r w:rsidRPr="00A90241">
        <w:rPr>
          <w:vertAlign w:val="superscript"/>
          <w:lang w:val="en-GB"/>
        </w:rPr>
        <w:t>th</w:t>
      </w:r>
      <w:r w:rsidRPr="00A90241">
        <w:rPr>
          <w:lang w:val="en-GB"/>
        </w:rPr>
        <w:t xml:space="preserve"> FYP 2021-2025.</w:t>
      </w:r>
      <w:r w:rsidRPr="00A90241">
        <w:rPr>
          <w:rStyle w:val="FootnoteReference"/>
          <w:lang w:val="en-GB"/>
        </w:rPr>
        <w:footnoteReference w:id="51"/>
      </w:r>
      <w:r w:rsidRPr="00A90241">
        <w:rPr>
          <w:lang w:val="en-GB"/>
        </w:rPr>
        <w:t xml:space="preserve"> In July 2021, the Office of the Customs Tariff Commission of the State Council announced an increase in export tariffs of iron ore of 20%. Wang </w:t>
      </w:r>
      <w:proofErr w:type="spellStart"/>
      <w:r w:rsidRPr="00A90241">
        <w:rPr>
          <w:lang w:val="en-GB"/>
        </w:rPr>
        <w:t>Guoqing</w:t>
      </w:r>
      <w:proofErr w:type="spellEnd"/>
      <w:r w:rsidRPr="00A90241">
        <w:rPr>
          <w:lang w:val="en-GB"/>
        </w:rPr>
        <w:t xml:space="preserve">, research director at the Beijing Lange Steel Information Research </w:t>
      </w:r>
      <w:proofErr w:type="spellStart"/>
      <w:r w:rsidRPr="00A90241">
        <w:rPr>
          <w:lang w:val="en-GB"/>
        </w:rPr>
        <w:t>Center</w:t>
      </w:r>
      <w:proofErr w:type="spellEnd"/>
      <w:r w:rsidRPr="00A90241">
        <w:rPr>
          <w:lang w:val="en-GB"/>
        </w:rPr>
        <w:t>, explained the raise of export tariff aims to help meet domestic demand of iron ore.</w:t>
      </w:r>
      <w:r w:rsidRPr="00A90241">
        <w:rPr>
          <w:rStyle w:val="FootnoteReference"/>
          <w:lang w:val="en-GB"/>
        </w:rPr>
        <w:footnoteReference w:id="52"/>
      </w:r>
      <w:r w:rsidRPr="00A90241">
        <w:rPr>
          <w:lang w:val="en-GB"/>
        </w:rPr>
        <w:t xml:space="preserve"> Nevertheless, as further detailed below, the upstream demand in China (HRFS) is now declining.</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The Chinese government employs significant efforts to ensure producers’ compliance with its measures towards HRFS raw materials. In June 2021, the pricing department of China's National Development and Reform Commission (NDRC) and the State Administrator for Market Regulation launched a probe into spot iron ore trading.</w:t>
      </w:r>
      <w:r w:rsidRPr="00A90241">
        <w:rPr>
          <w:rStyle w:val="FootnoteReference"/>
          <w:rFonts w:ascii="Times New Roman" w:hAnsi="Times New Roman" w:cs="Times New Roman"/>
          <w:sz w:val="24"/>
          <w:szCs w:val="24"/>
        </w:rPr>
        <w:footnoteReference w:id="53"/>
      </w:r>
      <w:r w:rsidRPr="00A90241">
        <w:rPr>
          <w:rFonts w:ascii="Times New Roman" w:hAnsi="Times New Roman" w:cs="Times New Roman"/>
          <w:sz w:val="24"/>
          <w:szCs w:val="24"/>
        </w:rPr>
        <w:t xml:space="preserve"> An investigation into coal prices </w:t>
      </w:r>
      <w:proofErr w:type="gramStart"/>
      <w:r w:rsidRPr="00A90241">
        <w:rPr>
          <w:rFonts w:ascii="Times New Roman" w:hAnsi="Times New Roman" w:cs="Times New Roman"/>
          <w:sz w:val="24"/>
          <w:szCs w:val="24"/>
        </w:rPr>
        <w:t>has also been launched</w:t>
      </w:r>
      <w:proofErr w:type="gramEnd"/>
      <w:r w:rsidRPr="00A90241">
        <w:rPr>
          <w:rFonts w:ascii="Times New Roman" w:hAnsi="Times New Roman" w:cs="Times New Roman"/>
          <w:sz w:val="24"/>
          <w:szCs w:val="24"/>
        </w:rPr>
        <w:t>. In fact, Chinese regulators have sent teams to various Chinese provinces and cities to investigate commodity prices and supplies.</w:t>
      </w:r>
      <w:r w:rsidRPr="00A90241">
        <w:rPr>
          <w:rStyle w:val="FootnoteReference"/>
          <w:rFonts w:ascii="Times New Roman" w:hAnsi="Times New Roman" w:cs="Times New Roman"/>
          <w:sz w:val="24"/>
          <w:szCs w:val="24"/>
        </w:rPr>
        <w:footnoteReference w:id="54"/>
      </w:r>
      <w:r w:rsidRPr="00A90241">
        <w:rPr>
          <w:rFonts w:ascii="Times New Roman" w:hAnsi="Times New Roman" w:cs="Times New Roman"/>
          <w:sz w:val="24"/>
          <w:szCs w:val="24"/>
        </w:rPr>
        <w:t xml:space="preserve"> The Chinese government has been very much involved in trying to control prices of commodities, from coal to cooper. As prices have risen significantly, regulators aim to intervene to ensure supply and stability of prices.</w:t>
      </w:r>
      <w:r w:rsidRPr="00A90241">
        <w:rPr>
          <w:rStyle w:val="FootnoteReference"/>
          <w:rFonts w:ascii="Times New Roman" w:hAnsi="Times New Roman" w:cs="Times New Roman"/>
          <w:sz w:val="24"/>
          <w:szCs w:val="24"/>
        </w:rPr>
        <w:footnoteReference w:id="55"/>
      </w:r>
      <w:r w:rsidRPr="00A90241">
        <w:rPr>
          <w:rFonts w:ascii="Times New Roman" w:hAnsi="Times New Roman" w:cs="Times New Roman"/>
          <w:sz w:val="24"/>
          <w:szCs w:val="24"/>
        </w:rPr>
        <w:t xml:space="preserve"> NDRC and the Market Regulator declared “</w:t>
      </w:r>
      <w:r w:rsidRPr="00A90241">
        <w:rPr>
          <w:rFonts w:ascii="Times New Roman" w:hAnsi="Times New Roman" w:cs="Times New Roman"/>
          <w:i/>
          <w:sz w:val="24"/>
          <w:szCs w:val="24"/>
        </w:rPr>
        <w:t>iron ore prices have risen significantly and remain high, putting pressure on production and operation at mid- and downstream companies</w:t>
      </w:r>
      <w:r w:rsidRPr="00A90241">
        <w:rPr>
          <w:rFonts w:ascii="Times New Roman" w:hAnsi="Times New Roman" w:cs="Times New Roman"/>
          <w:sz w:val="24"/>
          <w:szCs w:val="24"/>
        </w:rPr>
        <w:t>” and, as a result, they would closely monitor trading prices and “</w:t>
      </w:r>
      <w:r w:rsidRPr="00A90241">
        <w:rPr>
          <w:rFonts w:ascii="Times New Roman" w:hAnsi="Times New Roman" w:cs="Times New Roman"/>
          <w:i/>
          <w:sz w:val="24"/>
          <w:szCs w:val="24"/>
        </w:rPr>
        <w:t>strictly punish and disclose</w:t>
      </w:r>
      <w:r w:rsidRPr="00A90241">
        <w:rPr>
          <w:rFonts w:ascii="Times New Roman" w:hAnsi="Times New Roman" w:cs="Times New Roman"/>
          <w:sz w:val="24"/>
          <w:szCs w:val="24"/>
        </w:rPr>
        <w:t>” irregularities such as hyping prices and hoarding.</w:t>
      </w:r>
      <w:r w:rsidRPr="00A90241">
        <w:rPr>
          <w:rStyle w:val="FootnoteReference"/>
          <w:rFonts w:ascii="Times New Roman" w:hAnsi="Times New Roman" w:cs="Times New Roman"/>
          <w:sz w:val="24"/>
          <w:szCs w:val="24"/>
        </w:rPr>
        <w:footnoteReference w:id="56"/>
      </w:r>
      <w:r w:rsidRPr="00A90241">
        <w:rPr>
          <w:rFonts w:ascii="Times New Roman" w:hAnsi="Times New Roman" w:cs="Times New Roman"/>
          <w:sz w:val="24"/>
          <w:szCs w:val="24"/>
        </w:rPr>
        <w:t xml:space="preserve"> Following the announcement of the probe, iron ore prices plummeted.</w:t>
      </w:r>
      <w:r w:rsidRPr="00A90241">
        <w:rPr>
          <w:rStyle w:val="FootnoteReference"/>
          <w:rFonts w:ascii="Times New Roman" w:hAnsi="Times New Roman" w:cs="Times New Roman"/>
          <w:sz w:val="24"/>
          <w:szCs w:val="24"/>
        </w:rPr>
        <w:footnoteReference w:id="57"/>
      </w:r>
      <w:r w:rsidRPr="00A90241">
        <w:rPr>
          <w:rFonts w:ascii="Times New Roman" w:hAnsi="Times New Roman" w:cs="Times New Roman"/>
          <w:sz w:val="24"/>
          <w:szCs w:val="24"/>
        </w:rPr>
        <w:t xml:space="preserve"> </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 xml:space="preserve">Another way the government has provided indirect support to the steel sector is </w:t>
      </w:r>
      <w:proofErr w:type="gramStart"/>
      <w:r w:rsidRPr="00A90241">
        <w:rPr>
          <w:rFonts w:ascii="Times New Roman" w:hAnsi="Times New Roman" w:cs="Times New Roman"/>
          <w:sz w:val="24"/>
          <w:szCs w:val="24"/>
        </w:rPr>
        <w:t>by not strictly enforcing</w:t>
      </w:r>
      <w:proofErr w:type="gramEnd"/>
      <w:r w:rsidRPr="00A90241">
        <w:rPr>
          <w:rFonts w:ascii="Times New Roman" w:hAnsi="Times New Roman" w:cs="Times New Roman"/>
          <w:sz w:val="24"/>
          <w:szCs w:val="24"/>
        </w:rPr>
        <w:t xml:space="preserve"> regulations on environmental protection. While China’s central government has issued increasingly stringent environmental protection policies, sometimes these regulations </w:t>
      </w:r>
      <w:proofErr w:type="gramStart"/>
      <w:r w:rsidRPr="00A90241">
        <w:rPr>
          <w:rFonts w:ascii="Times New Roman" w:hAnsi="Times New Roman" w:cs="Times New Roman"/>
          <w:sz w:val="24"/>
          <w:szCs w:val="24"/>
        </w:rPr>
        <w:t>are not implemented or enforced at the local level</w:t>
      </w:r>
      <w:proofErr w:type="gramEnd"/>
      <w:r w:rsidRPr="00A90241">
        <w:rPr>
          <w:rFonts w:ascii="Times New Roman" w:hAnsi="Times New Roman" w:cs="Times New Roman"/>
          <w:sz w:val="24"/>
          <w:szCs w:val="24"/>
        </w:rPr>
        <w:t>.</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lastRenderedPageBreak/>
        <w:t xml:space="preserve">Equity infusions and conversions </w:t>
      </w:r>
      <w:proofErr w:type="gramStart"/>
      <w:r w:rsidRPr="00A90241">
        <w:rPr>
          <w:rFonts w:ascii="Times New Roman" w:hAnsi="Times New Roman" w:cs="Times New Roman"/>
          <w:sz w:val="24"/>
          <w:szCs w:val="24"/>
        </w:rPr>
        <w:t>can also be used</w:t>
      </w:r>
      <w:proofErr w:type="gramEnd"/>
      <w:r w:rsidRPr="00A90241">
        <w:rPr>
          <w:rFonts w:ascii="Times New Roman" w:hAnsi="Times New Roman" w:cs="Times New Roman"/>
          <w:sz w:val="24"/>
          <w:szCs w:val="24"/>
        </w:rPr>
        <w:t xml:space="preserve">. For instance, the Chinese coastal city of Tianjin plans to issue corporate bonds to ease the debt burden of a local state-owned steelmaker – in a flagship case of restructuring in the domestic industry. Tianjin’s city government has finalised a plan to restructure the 192 billion RMB debt of </w:t>
      </w:r>
      <w:proofErr w:type="spellStart"/>
      <w:r w:rsidRPr="00A90241">
        <w:rPr>
          <w:rFonts w:ascii="Times New Roman" w:hAnsi="Times New Roman" w:cs="Times New Roman"/>
          <w:sz w:val="24"/>
          <w:szCs w:val="24"/>
        </w:rPr>
        <w:t>Bohai</w:t>
      </w:r>
      <w:proofErr w:type="spellEnd"/>
      <w:r w:rsidRPr="00A90241">
        <w:rPr>
          <w:rFonts w:ascii="Times New Roman" w:hAnsi="Times New Roman" w:cs="Times New Roman"/>
          <w:sz w:val="24"/>
          <w:szCs w:val="24"/>
        </w:rPr>
        <w:t xml:space="preserve"> Steel Group by placing its most profitable assets into a new company and converting a portion of the liabilities into bonds.</w:t>
      </w:r>
      <w:r w:rsidRPr="00A90241">
        <w:rPr>
          <w:rStyle w:val="FootnoteReference"/>
          <w:rFonts w:ascii="Times New Roman" w:hAnsi="Times New Roman" w:cs="Times New Roman"/>
          <w:sz w:val="24"/>
          <w:szCs w:val="24"/>
        </w:rPr>
        <w:footnoteReference w:id="58"/>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proofErr w:type="gramStart"/>
      <w:r w:rsidRPr="00A90241">
        <w:rPr>
          <w:rFonts w:ascii="Times New Roman" w:hAnsi="Times New Roman" w:cs="Times New Roman"/>
          <w:sz w:val="24"/>
          <w:szCs w:val="24"/>
        </w:rPr>
        <w:t>The analysis laid out above, which includes an examination of available evidence relating to China’s intervention in its economy in general as well as in the steel sector specifically, shows that prices or costs, including the costs of raw materials, energy and labour, do not result from free market forces because they are affected by substantial Government intervention under Article 2(6a)(b) of the Basic Regulation.</w:t>
      </w:r>
      <w:proofErr w:type="gramEnd"/>
      <w:r w:rsidRPr="00A90241">
        <w:rPr>
          <w:rFonts w:ascii="Times New Roman" w:hAnsi="Times New Roman" w:cs="Times New Roman"/>
          <w:sz w:val="24"/>
          <w:szCs w:val="24"/>
        </w:rPr>
        <w:t xml:space="preserve"> On that basis, it is not appropriate to use domestic prices and costs to establish normal value in this case.</w:t>
      </w:r>
    </w:p>
    <w:p w:rsidR="00A90241" w:rsidRPr="00A90241" w:rsidRDefault="00A90241" w:rsidP="00A90241">
      <w:pPr>
        <w:numPr>
          <w:ilvl w:val="0"/>
          <w:numId w:val="1"/>
        </w:numPr>
        <w:spacing w:before="240" w:after="0" w:line="240" w:lineRule="auto"/>
        <w:jc w:val="both"/>
        <w:rPr>
          <w:rFonts w:ascii="Times New Roman" w:hAnsi="Times New Roman" w:cs="Times New Roman"/>
          <w:sz w:val="24"/>
          <w:szCs w:val="24"/>
        </w:rPr>
      </w:pPr>
      <w:r w:rsidRPr="00A90241">
        <w:rPr>
          <w:rFonts w:ascii="Times New Roman" w:hAnsi="Times New Roman" w:cs="Times New Roman"/>
          <w:sz w:val="24"/>
          <w:szCs w:val="24"/>
        </w:rPr>
        <w:t>Thus, the normal value is constructed based only on costs of production and sale reflecting undistorted prices or benchmarks, that are, in this case, based on corresponding costs of production and sale in an appropriate representative country, in accordance with Article 2(6a)(a) of the Basic Regulation, as discussed in the following section.</w:t>
      </w:r>
    </w:p>
    <w:p w:rsidR="00690B5E" w:rsidRPr="00A90241" w:rsidRDefault="00690B5E">
      <w:pPr>
        <w:rPr>
          <w:rFonts w:ascii="Times New Roman" w:hAnsi="Times New Roman" w:cs="Times New Roman"/>
          <w:sz w:val="24"/>
          <w:szCs w:val="24"/>
        </w:rPr>
      </w:pPr>
    </w:p>
    <w:sectPr w:rsidR="00690B5E" w:rsidRPr="00A902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241" w:rsidRDefault="00A90241" w:rsidP="00A90241">
      <w:pPr>
        <w:spacing w:after="0" w:line="240" w:lineRule="auto"/>
      </w:pPr>
      <w:r>
        <w:separator/>
      </w:r>
    </w:p>
  </w:endnote>
  <w:endnote w:type="continuationSeparator" w:id="0">
    <w:p w:rsidR="00A90241" w:rsidRDefault="00A90241" w:rsidP="00A90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241" w:rsidRDefault="00A90241" w:rsidP="00A90241">
      <w:pPr>
        <w:spacing w:after="0" w:line="240" w:lineRule="auto"/>
      </w:pPr>
      <w:r>
        <w:separator/>
      </w:r>
    </w:p>
  </w:footnote>
  <w:footnote w:type="continuationSeparator" w:id="0">
    <w:p w:rsidR="00A90241" w:rsidRDefault="00A90241" w:rsidP="00A90241">
      <w:pPr>
        <w:spacing w:after="0" w:line="240" w:lineRule="auto"/>
      </w:pPr>
      <w:r>
        <w:continuationSeparator/>
      </w:r>
    </w:p>
  </w:footnote>
  <w:footnote w:id="1">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2, p. 6-7. </w:t>
      </w:r>
    </w:p>
  </w:footnote>
  <w:footnote w:id="2">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tab/>
        <w:t>Report — Chapter 2, p. 10</w:t>
      </w:r>
      <w:proofErr w:type="gramStart"/>
      <w:r w:rsidRPr="00A1419E">
        <w:t>..</w:t>
      </w:r>
      <w:proofErr w:type="gramEnd"/>
    </w:p>
  </w:footnote>
  <w:footnote w:id="3">
    <w:p w:rsidR="00A90241" w:rsidRPr="00A1419E" w:rsidRDefault="00A90241" w:rsidP="00A90241">
      <w:pPr>
        <w:pStyle w:val="FootnoteText"/>
      </w:pPr>
      <w:r w:rsidRPr="00A1419E">
        <w:rPr>
          <w:rStyle w:val="FootnoteReference"/>
          <w:szCs w:val="18"/>
        </w:rPr>
        <w:footnoteRef/>
      </w:r>
      <w:r w:rsidRPr="00A1419E">
        <w:t xml:space="preserve"> </w:t>
      </w:r>
      <w:r w:rsidRPr="00A1419E">
        <w:tab/>
        <w:t>See “Chinese Constitution –</w:t>
      </w:r>
      <w:r w:rsidR="00070C0F">
        <w:t xml:space="preserve"> Chapter 1 General Principles”,</w:t>
      </w:r>
    </w:p>
  </w:footnote>
  <w:footnote w:id="4">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2, p. 20-21. </w:t>
      </w:r>
    </w:p>
  </w:footnote>
  <w:footnote w:id="5">
    <w:p w:rsidR="00A90241" w:rsidRPr="00A1419E" w:rsidRDefault="00A90241" w:rsidP="00A90241">
      <w:pPr>
        <w:pStyle w:val="FootnoteText"/>
      </w:pPr>
      <w:r w:rsidRPr="00A1419E">
        <w:rPr>
          <w:rStyle w:val="FootnoteReference"/>
          <w:szCs w:val="18"/>
        </w:rPr>
        <w:footnoteRef/>
      </w:r>
      <w:r w:rsidRPr="00A1419E">
        <w:t xml:space="preserve"> </w:t>
      </w:r>
      <w:r w:rsidRPr="00A1419E">
        <w:tab/>
        <w:t>Report – Chapter 3, p. 41, 73-74.</w:t>
      </w:r>
    </w:p>
  </w:footnote>
  <w:footnote w:id="6">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rPr>
          <w:rStyle w:val="FootnoteReference"/>
          <w:szCs w:val="18"/>
        </w:rPr>
        <w:tab/>
      </w:r>
      <w:r w:rsidRPr="00A1419E">
        <w:t>Report – Chapter 6, p. 120-121. .</w:t>
      </w:r>
    </w:p>
  </w:footnote>
  <w:footnote w:id="7">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rPr>
          <w:rStyle w:val="FootnoteReference"/>
          <w:szCs w:val="18"/>
        </w:rPr>
        <w:tab/>
      </w:r>
      <w:r w:rsidRPr="00A1419E">
        <w:t>Report – Chapter 6. p. 122 -135.</w:t>
      </w:r>
    </w:p>
  </w:footnote>
  <w:footnote w:id="8">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rPr>
          <w:rStyle w:val="FootnoteReference"/>
          <w:szCs w:val="18"/>
        </w:rPr>
        <w:tab/>
      </w:r>
      <w:r w:rsidRPr="00A1419E">
        <w:t>Report – Chapter 7, p. 167-168</w:t>
      </w:r>
      <w:proofErr w:type="gramStart"/>
      <w:r w:rsidRPr="00A1419E">
        <w:t>..</w:t>
      </w:r>
      <w:proofErr w:type="gramEnd"/>
    </w:p>
  </w:footnote>
  <w:footnote w:id="9">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rPr>
          <w:rStyle w:val="FootnoteReference"/>
          <w:szCs w:val="18"/>
        </w:rPr>
        <w:tab/>
      </w:r>
      <w:r w:rsidRPr="00A1419E">
        <w:t>Report – Chapter 8, p. 169-170, 200-201.</w:t>
      </w:r>
    </w:p>
  </w:footnote>
  <w:footnote w:id="10">
    <w:p w:rsidR="00A90241" w:rsidRPr="00A1419E" w:rsidRDefault="00A90241" w:rsidP="00A90241">
      <w:pPr>
        <w:pStyle w:val="FootnoteText"/>
        <w:rPr>
          <w:lang w:val="bg-BG"/>
        </w:rPr>
      </w:pPr>
      <w:r w:rsidRPr="00A1419E">
        <w:rPr>
          <w:rStyle w:val="FootnoteReference"/>
          <w:szCs w:val="18"/>
        </w:rPr>
        <w:footnoteRef/>
      </w:r>
      <w:r w:rsidRPr="00A1419E">
        <w:rPr>
          <w:rStyle w:val="FootnoteReference"/>
          <w:szCs w:val="18"/>
        </w:rPr>
        <w:t xml:space="preserve"> </w:t>
      </w:r>
      <w:r w:rsidRPr="00A1419E">
        <w:rPr>
          <w:rStyle w:val="FootnoteReference"/>
          <w:szCs w:val="18"/>
        </w:rPr>
        <w:tab/>
      </w:r>
      <w:r w:rsidRPr="00A1419E">
        <w:t xml:space="preserve">Report – Chapter 2, p. 15-16; Report – Chapter 4, p. 50 and 84; Report – Chapter 5, p. 108-9. </w:t>
      </w:r>
    </w:p>
  </w:footnote>
  <w:footnote w:id="11">
    <w:p w:rsidR="00A90241" w:rsidRPr="00A1419E" w:rsidRDefault="00A90241" w:rsidP="00A90241">
      <w:pPr>
        <w:pStyle w:val="FootnoteText"/>
        <w:rPr>
          <w:lang w:val="en-US"/>
        </w:rPr>
      </w:pPr>
      <w:r w:rsidRPr="00A1419E">
        <w:rPr>
          <w:rStyle w:val="FootnoteReference"/>
          <w:szCs w:val="18"/>
        </w:rPr>
        <w:footnoteRef/>
      </w:r>
      <w:r w:rsidRPr="00A1419E">
        <w:t xml:space="preserve"> </w:t>
      </w:r>
      <w:r w:rsidRPr="00A1419E">
        <w:tab/>
        <w:t>Report – Chapter 3, p. 22-24 and Chapter 5, p. 97-108</w:t>
      </w:r>
      <w:proofErr w:type="gramStart"/>
      <w:r w:rsidRPr="00A1419E">
        <w:t>..</w:t>
      </w:r>
      <w:proofErr w:type="gramEnd"/>
    </w:p>
  </w:footnote>
  <w:footnote w:id="12">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rPr>
          <w:rStyle w:val="FootnoteReference"/>
          <w:szCs w:val="18"/>
        </w:rPr>
        <w:tab/>
      </w:r>
      <w:r w:rsidR="00070C0F">
        <w:t>Report – Chapter 5, p. 104-9</w:t>
      </w:r>
      <w:proofErr w:type="gramStart"/>
      <w:r w:rsidR="00070C0F">
        <w:t>.</w:t>
      </w:r>
      <w:r w:rsidRPr="00A1419E">
        <w:t>.</w:t>
      </w:r>
      <w:proofErr w:type="gramEnd"/>
    </w:p>
  </w:footnote>
  <w:footnote w:id="13">
    <w:p w:rsidR="00A90241" w:rsidRPr="00A1419E" w:rsidRDefault="00A90241" w:rsidP="00A90241">
      <w:pPr>
        <w:pStyle w:val="FootnoteText"/>
        <w:rPr>
          <w:szCs w:val="18"/>
        </w:rPr>
      </w:pPr>
      <w:r w:rsidRPr="00A1419E">
        <w:rPr>
          <w:rStyle w:val="FootnoteReference"/>
          <w:szCs w:val="18"/>
        </w:rPr>
        <w:footnoteRef/>
      </w:r>
      <w:r w:rsidRPr="00A1419E">
        <w:rPr>
          <w:szCs w:val="18"/>
        </w:rPr>
        <w:t xml:space="preserve"> </w:t>
      </w:r>
      <w:r w:rsidRPr="00A1419E">
        <w:rPr>
          <w:szCs w:val="18"/>
        </w:rPr>
        <w:tab/>
        <w:t xml:space="preserve">OECD, </w:t>
      </w:r>
      <w:r w:rsidRPr="00A1419E">
        <w:rPr>
          <w:i/>
          <w:szCs w:val="18"/>
        </w:rPr>
        <w:t>State-owned Firms behind China’s Corporate Debt</w:t>
      </w:r>
      <w:r w:rsidRPr="00A1419E">
        <w:rPr>
          <w:szCs w:val="18"/>
        </w:rPr>
        <w:t xml:space="preserve">, Economics Department Working Papers no. 1536, February 2019. </w:t>
      </w:r>
      <w:hyperlink r:id="rId1" w:history="1">
        <w:r w:rsidRPr="00A1419E">
          <w:rPr>
            <w:rStyle w:val="Hyperlink"/>
            <w:szCs w:val="18"/>
          </w:rPr>
          <w:t>https://www.oecd-ilibrary.org/docserver/7c66570e-en.pdf?expires=1634897777&amp;id=id&amp;accname=guest&amp;checksum=3095BC87BC68666578D757C403B87307</w:t>
        </w:r>
      </w:hyperlink>
      <w:r w:rsidRPr="00A1419E">
        <w:rPr>
          <w:szCs w:val="18"/>
        </w:rPr>
        <w:t>.</w:t>
      </w:r>
    </w:p>
  </w:footnote>
  <w:footnote w:id="14">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14, p. 358: 51 % private and 49 % SOEs in terms of production and 44 % SOEs and 56 % private companies in terms of capacity. </w:t>
      </w:r>
    </w:p>
  </w:footnote>
  <w:footnote w:id="15">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5, p. 100-1. </w:t>
      </w:r>
    </w:p>
  </w:footnote>
  <w:footnote w:id="16">
    <w:p w:rsidR="00A90241" w:rsidRPr="00A1419E" w:rsidRDefault="00A90241" w:rsidP="00A90241">
      <w:pPr>
        <w:pStyle w:val="FootnoteText"/>
        <w:rPr>
          <w:lang w:val="bg-BG"/>
        </w:rPr>
      </w:pPr>
      <w:r w:rsidRPr="00A1419E">
        <w:rPr>
          <w:rStyle w:val="FootnoteReference"/>
          <w:szCs w:val="18"/>
        </w:rPr>
        <w:footnoteRef/>
      </w:r>
      <w:r w:rsidRPr="00A1419E">
        <w:rPr>
          <w:rStyle w:val="FootnoteReference"/>
          <w:szCs w:val="18"/>
        </w:rPr>
        <w:t xml:space="preserve"> </w:t>
      </w:r>
      <w:r w:rsidRPr="00A1419E">
        <w:tab/>
        <w:t xml:space="preserve">Report – Chapter 2, p. 31-2. </w:t>
      </w:r>
    </w:p>
  </w:footnote>
  <w:footnote w:id="17">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tab/>
        <w:t xml:space="preserve">Report – Chapters 14.1 to 14.3. </w:t>
      </w:r>
    </w:p>
  </w:footnote>
  <w:footnote w:id="18">
    <w:p w:rsidR="00A90241" w:rsidRPr="00A1419E" w:rsidRDefault="00A90241" w:rsidP="00A90241">
      <w:pPr>
        <w:pStyle w:val="FootnoteText"/>
      </w:pPr>
      <w:r w:rsidRPr="00A1419E">
        <w:rPr>
          <w:rStyle w:val="FootnoteReference"/>
          <w:szCs w:val="18"/>
        </w:rPr>
        <w:footnoteRef/>
      </w:r>
      <w:r w:rsidRPr="00A1419E">
        <w:t xml:space="preserve"> </w:t>
      </w:r>
      <w:r w:rsidRPr="00A1419E">
        <w:tab/>
        <w:t>Report – Chapter 4, p. 41-42, 83.</w:t>
      </w:r>
    </w:p>
  </w:footnote>
  <w:footnote w:id="19">
    <w:p w:rsidR="00A90241" w:rsidRPr="00A1419E" w:rsidRDefault="00A90241" w:rsidP="00A90241">
      <w:pPr>
        <w:pStyle w:val="FootnoteText"/>
      </w:pPr>
      <w:r w:rsidRPr="00A1419E">
        <w:rPr>
          <w:rStyle w:val="FootnoteReference"/>
          <w:szCs w:val="18"/>
        </w:rPr>
        <w:footnoteRef/>
      </w:r>
      <w:r w:rsidRPr="00A1419E">
        <w:t xml:space="preserve"> </w:t>
      </w:r>
      <w:r w:rsidRPr="00A1419E">
        <w:tab/>
        <w:t>Report, Part III, Chapter 14, p. 346.</w:t>
      </w:r>
    </w:p>
  </w:footnote>
  <w:footnote w:id="20">
    <w:p w:rsidR="00A90241" w:rsidRPr="00A1419E" w:rsidRDefault="00A90241" w:rsidP="00A90241">
      <w:pPr>
        <w:pStyle w:val="FootnoteText"/>
      </w:pPr>
      <w:r w:rsidRPr="00A1419E">
        <w:rPr>
          <w:rStyle w:val="FootnoteReference"/>
          <w:szCs w:val="18"/>
        </w:rPr>
        <w:footnoteRef/>
      </w:r>
      <w:r w:rsidRPr="00A1419E">
        <w:t xml:space="preserve"> </w:t>
      </w:r>
      <w:r w:rsidRPr="00A1419E">
        <w:tab/>
        <w:t>See Introduction to The Plan for Adjusting and Upgrading the Steel Industry.</w:t>
      </w:r>
    </w:p>
  </w:footnote>
  <w:footnote w:id="21">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Chapter 14, p. 347. </w:t>
      </w:r>
    </w:p>
  </w:footnote>
  <w:footnote w:id="22">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tab/>
      </w:r>
      <w:proofErr w:type="gramStart"/>
      <w:r w:rsidRPr="00A1419E">
        <w:t>Catalogue for Guiding Industry Restructuring (2011 Version) (2013 Amendment) issued by Order No 9 of the National Development and Reform Commission on 27 March 2011, and amended in accordance with the Decision of the National Development and Reform Commission on Amending the Relevant Clauses of the Catalogue for Guiding Industry Restructuring (2011 Version) issued by Order No 21 of the National Development and Reform Commission on 16 February 2013.</w:t>
      </w:r>
      <w:proofErr w:type="gramEnd"/>
    </w:p>
  </w:footnote>
  <w:footnote w:id="23">
    <w:p w:rsidR="00A90241" w:rsidRPr="00A1419E" w:rsidRDefault="00A90241" w:rsidP="00A90241">
      <w:pPr>
        <w:pStyle w:val="FootnoteText"/>
      </w:pPr>
      <w:r w:rsidRPr="00A1419E">
        <w:rPr>
          <w:rStyle w:val="FootnoteReference"/>
          <w:szCs w:val="18"/>
        </w:rPr>
        <w:footnoteRef/>
      </w:r>
      <w:r w:rsidRPr="00A1419E">
        <w:t xml:space="preserve"> </w:t>
      </w:r>
      <w:r w:rsidRPr="00A1419E">
        <w:tab/>
        <w:t>HRFS CVD Regulation, recital 56</w:t>
      </w:r>
      <w:r w:rsidRPr="00A1419E">
        <w:rPr>
          <w:bCs/>
        </w:rPr>
        <w:t>.</w:t>
      </w:r>
    </w:p>
  </w:footnote>
  <w:footnote w:id="24">
    <w:p w:rsidR="00A90241" w:rsidRPr="00A1419E" w:rsidRDefault="00A90241" w:rsidP="00A90241">
      <w:pPr>
        <w:pStyle w:val="FootnoteText"/>
      </w:pPr>
      <w:r w:rsidRPr="00A1419E">
        <w:rPr>
          <w:rStyle w:val="FootnoteReference"/>
          <w:szCs w:val="18"/>
        </w:rPr>
        <w:footnoteRef/>
      </w:r>
      <w:r w:rsidRPr="00A1419E">
        <w:rPr>
          <w:rStyle w:val="FootnoteReference"/>
          <w:szCs w:val="18"/>
        </w:rPr>
        <w:t xml:space="preserve"> </w:t>
      </w:r>
      <w:r w:rsidRPr="00A1419E">
        <w:t xml:space="preserve"> </w:t>
      </w:r>
      <w:r w:rsidRPr="00A1419E">
        <w:tab/>
        <w:t xml:space="preserve">Report – Chapter 14, p. 375-376. </w:t>
      </w:r>
    </w:p>
  </w:footnote>
  <w:footnote w:id="25">
    <w:p w:rsidR="00A90241" w:rsidRPr="00A1419E" w:rsidRDefault="00A90241" w:rsidP="00A90241">
      <w:pPr>
        <w:pStyle w:val="FootnoteText"/>
      </w:pPr>
      <w:r w:rsidRPr="00A1419E">
        <w:rPr>
          <w:rStyle w:val="FootnoteReference"/>
          <w:szCs w:val="18"/>
        </w:rPr>
        <w:footnoteRef/>
      </w:r>
      <w:r w:rsidRPr="00A1419E">
        <w:t xml:space="preserve"> </w:t>
      </w:r>
      <w:r w:rsidRPr="00A1419E">
        <w:tab/>
        <w:t>Report – Chapter 6, p. 138-149.</w:t>
      </w:r>
    </w:p>
  </w:footnote>
  <w:footnote w:id="26">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9, p. 216. </w:t>
      </w:r>
    </w:p>
  </w:footnote>
  <w:footnote w:id="27">
    <w:p w:rsidR="00A90241" w:rsidRPr="00A1419E" w:rsidRDefault="00A90241" w:rsidP="00A90241">
      <w:pPr>
        <w:pStyle w:val="FootnoteText"/>
      </w:pPr>
      <w:r w:rsidRPr="00A1419E">
        <w:rPr>
          <w:rStyle w:val="FootnoteReference"/>
          <w:szCs w:val="18"/>
        </w:rPr>
        <w:footnoteRef/>
      </w:r>
      <w:r w:rsidRPr="00A1419E">
        <w:t xml:space="preserve"> </w:t>
      </w:r>
      <w:r w:rsidRPr="00A1419E">
        <w:tab/>
        <w:t>Report – Chapter 9, p. 213-215.</w:t>
      </w:r>
    </w:p>
  </w:footnote>
  <w:footnote w:id="28">
    <w:p w:rsidR="00A90241" w:rsidRPr="00A1419E" w:rsidRDefault="00A90241" w:rsidP="00A90241">
      <w:pPr>
        <w:pStyle w:val="FootnoteText"/>
      </w:pPr>
      <w:r w:rsidRPr="00A1419E">
        <w:rPr>
          <w:rStyle w:val="FootnoteReference"/>
          <w:szCs w:val="18"/>
        </w:rPr>
        <w:footnoteRef/>
      </w:r>
      <w:r w:rsidRPr="00A1419E">
        <w:t xml:space="preserve"> </w:t>
      </w:r>
      <w:r w:rsidRPr="00A1419E">
        <w:tab/>
        <w:t>Report – Chapter 9, p. 209-211.</w:t>
      </w:r>
    </w:p>
  </w:footnote>
  <w:footnote w:id="29">
    <w:p w:rsidR="00A90241" w:rsidRPr="00A1419E" w:rsidRDefault="00A90241" w:rsidP="00A90241">
      <w:pPr>
        <w:pStyle w:val="FootnoteText"/>
      </w:pPr>
      <w:r w:rsidRPr="00A1419E">
        <w:rPr>
          <w:rStyle w:val="FootnoteReference"/>
          <w:szCs w:val="18"/>
        </w:rPr>
        <w:footnoteRef/>
      </w:r>
      <w:r w:rsidRPr="00A1419E">
        <w:t xml:space="preserve"> </w:t>
      </w:r>
      <w:r w:rsidRPr="00A1419E">
        <w:tab/>
        <w:t>Marketplace, ‘Industrial Policy: If China does it, why can’t we?</w:t>
      </w:r>
      <w:proofErr w:type="gramStart"/>
      <w:r w:rsidRPr="00A1419E">
        <w:t>’,</w:t>
      </w:r>
      <w:proofErr w:type="gramEnd"/>
      <w:r w:rsidRPr="00A1419E">
        <w:t xml:space="preserve"> 1 March 2021. </w:t>
      </w:r>
      <w:hyperlink r:id="rId2" w:history="1">
        <w:r w:rsidRPr="00A1419E">
          <w:rPr>
            <w:rStyle w:val="Hyperlink"/>
            <w:szCs w:val="18"/>
          </w:rPr>
          <w:t>https://www.marketplace.org/2021/03/01/industrial-policy-if-china-does-it-why-cant-we/</w:t>
        </w:r>
      </w:hyperlink>
      <w:r w:rsidRPr="00A1419E">
        <w:t xml:space="preserve"> </w:t>
      </w:r>
    </w:p>
  </w:footnote>
  <w:footnote w:id="30">
    <w:p w:rsidR="00A90241" w:rsidRPr="00A1419E" w:rsidRDefault="00A90241" w:rsidP="00A90241">
      <w:pPr>
        <w:pStyle w:val="FootnoteText"/>
      </w:pPr>
      <w:r w:rsidRPr="00A1419E">
        <w:rPr>
          <w:rStyle w:val="FootnoteReference"/>
          <w:szCs w:val="18"/>
        </w:rPr>
        <w:footnoteRef/>
      </w:r>
      <w:r w:rsidRPr="00A1419E">
        <w:rPr>
          <w:rStyle w:val="FootnoteReference"/>
          <w:szCs w:val="18"/>
          <w:lang w:val="bg-BG"/>
        </w:rPr>
        <w:t xml:space="preserve"> </w:t>
      </w:r>
      <w:r w:rsidRPr="00A1419E">
        <w:rPr>
          <w:rStyle w:val="FootnoteReference"/>
          <w:szCs w:val="18"/>
          <w:lang w:val="bg-BG"/>
        </w:rPr>
        <w:tab/>
      </w:r>
      <w:r w:rsidRPr="00A1419E">
        <w:t>Report – Chapter 13, p. 332-337.</w:t>
      </w:r>
    </w:p>
  </w:footnote>
  <w:footnote w:id="31">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13, p. 336. </w:t>
      </w:r>
    </w:p>
  </w:footnote>
  <w:footnote w:id="32">
    <w:p w:rsidR="00A90241" w:rsidRPr="00A1419E" w:rsidRDefault="00A90241" w:rsidP="00A90241">
      <w:pPr>
        <w:pStyle w:val="FootnoteText"/>
      </w:pPr>
      <w:r w:rsidRPr="00A1419E">
        <w:rPr>
          <w:rStyle w:val="FootnoteReference"/>
          <w:szCs w:val="18"/>
        </w:rPr>
        <w:footnoteRef/>
      </w:r>
      <w:r w:rsidRPr="00A1419E">
        <w:rPr>
          <w:rStyle w:val="FootnoteReference"/>
          <w:szCs w:val="18"/>
          <w:lang w:val="bg-BG"/>
        </w:rPr>
        <w:t xml:space="preserve"> </w:t>
      </w:r>
      <w:r w:rsidRPr="00A1419E">
        <w:rPr>
          <w:lang w:val="bg-BG"/>
        </w:rPr>
        <w:tab/>
      </w:r>
      <w:r w:rsidRPr="00A1419E">
        <w:t xml:space="preserve">Report – Chapter 13, p. 337-341. </w:t>
      </w:r>
    </w:p>
  </w:footnote>
  <w:footnote w:id="33">
    <w:p w:rsidR="00A90241" w:rsidRPr="00A1419E" w:rsidRDefault="00A90241" w:rsidP="00A90241">
      <w:pPr>
        <w:pStyle w:val="FootnoteText"/>
      </w:pPr>
      <w:r w:rsidRPr="00A1419E">
        <w:rPr>
          <w:rStyle w:val="FootnoteReference"/>
          <w:szCs w:val="18"/>
        </w:rPr>
        <w:footnoteRef/>
      </w:r>
      <w:r w:rsidRPr="00A1419E">
        <w:rPr>
          <w:rStyle w:val="FootnoteReference"/>
          <w:szCs w:val="18"/>
          <w:lang w:val="bg-BG"/>
        </w:rPr>
        <w:t xml:space="preserve"> </w:t>
      </w:r>
      <w:r w:rsidRPr="00A1419E">
        <w:rPr>
          <w:rStyle w:val="FootnoteReference"/>
          <w:szCs w:val="18"/>
          <w:lang w:val="bg-BG"/>
        </w:rPr>
        <w:tab/>
      </w:r>
      <w:r w:rsidRPr="00A1419E">
        <w:t>Report – Chapter 6, p. 114-117.</w:t>
      </w:r>
    </w:p>
  </w:footnote>
  <w:footnote w:id="34">
    <w:p w:rsidR="00A90241" w:rsidRPr="00A1419E" w:rsidRDefault="00A90241" w:rsidP="00A90241">
      <w:pPr>
        <w:pStyle w:val="FootnoteText"/>
      </w:pPr>
      <w:r w:rsidRPr="00A1419E">
        <w:rPr>
          <w:rStyle w:val="FootnoteReference"/>
          <w:szCs w:val="18"/>
        </w:rPr>
        <w:footnoteRef/>
      </w:r>
      <w:r w:rsidRPr="00A1419E">
        <w:rPr>
          <w:rStyle w:val="FootnoteReference"/>
          <w:szCs w:val="18"/>
          <w:lang w:val="bg-BG"/>
        </w:rPr>
        <w:t xml:space="preserve"> </w:t>
      </w:r>
      <w:r w:rsidRPr="00A1419E">
        <w:rPr>
          <w:rStyle w:val="FootnoteReference"/>
          <w:szCs w:val="18"/>
          <w:lang w:val="bg-BG"/>
        </w:rPr>
        <w:tab/>
      </w:r>
      <w:r w:rsidRPr="00A1419E">
        <w:t xml:space="preserve">Report – Chapter 6, p. 119. </w:t>
      </w:r>
    </w:p>
  </w:footnote>
  <w:footnote w:id="35">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Report – Chapter 6, p. 120. </w:t>
      </w:r>
    </w:p>
  </w:footnote>
  <w:footnote w:id="36">
    <w:p w:rsidR="00A90241" w:rsidRPr="00A1419E" w:rsidRDefault="00A90241" w:rsidP="00A90241">
      <w:pPr>
        <w:pStyle w:val="FootnoteText"/>
      </w:pPr>
      <w:r w:rsidRPr="00A1419E">
        <w:rPr>
          <w:rStyle w:val="FootnoteReference"/>
          <w:szCs w:val="18"/>
        </w:rPr>
        <w:footnoteRef/>
      </w:r>
      <w:r w:rsidRPr="00A1419E">
        <w:rPr>
          <w:rStyle w:val="FootnoteReference"/>
          <w:szCs w:val="18"/>
          <w:lang w:val="bg-BG"/>
        </w:rPr>
        <w:t xml:space="preserve"> </w:t>
      </w:r>
      <w:r w:rsidRPr="00A1419E">
        <w:rPr>
          <w:rStyle w:val="FootnoteReference"/>
          <w:szCs w:val="18"/>
          <w:lang w:val="bg-BG"/>
        </w:rPr>
        <w:tab/>
      </w:r>
      <w:r w:rsidRPr="00A1419E">
        <w:t xml:space="preserve">Report – Chapter 6, p. 121-122, 126-128, 133-135. </w:t>
      </w:r>
    </w:p>
  </w:footnote>
  <w:footnote w:id="37">
    <w:p w:rsidR="00A90241" w:rsidRPr="00A90241" w:rsidRDefault="00A90241" w:rsidP="00A90241">
      <w:pPr>
        <w:tabs>
          <w:tab w:val="left" w:pos="0"/>
        </w:tabs>
        <w:ind w:left="720" w:hanging="720"/>
        <w:jc w:val="both"/>
        <w:rPr>
          <w:rFonts w:ascii="Times New Roman" w:hAnsi="Times New Roman" w:cs="Times New Roman"/>
          <w:sz w:val="18"/>
          <w:szCs w:val="18"/>
        </w:rPr>
      </w:pPr>
      <w:r w:rsidRPr="00A90241">
        <w:rPr>
          <w:rStyle w:val="FootnoteReference"/>
          <w:rFonts w:ascii="Times New Roman" w:hAnsi="Times New Roman" w:cs="Times New Roman"/>
          <w:sz w:val="18"/>
          <w:szCs w:val="18"/>
        </w:rPr>
        <w:footnoteRef/>
      </w:r>
      <w:r w:rsidRPr="00A90241">
        <w:rPr>
          <w:rFonts w:ascii="Times New Roman" w:hAnsi="Times New Roman" w:cs="Times New Roman"/>
          <w:sz w:val="18"/>
          <w:szCs w:val="18"/>
          <w:lang w:val="bg-BG"/>
        </w:rPr>
        <w:t xml:space="preserve"> </w:t>
      </w:r>
      <w:r w:rsidRPr="00A90241">
        <w:rPr>
          <w:rFonts w:ascii="Times New Roman" w:hAnsi="Times New Roman" w:cs="Times New Roman"/>
          <w:sz w:val="18"/>
          <w:szCs w:val="18"/>
        </w:rPr>
        <w:t xml:space="preserve"> </w:t>
      </w:r>
      <w:r w:rsidRPr="00A90241">
        <w:rPr>
          <w:rFonts w:ascii="Times New Roman" w:hAnsi="Times New Roman" w:cs="Times New Roman"/>
          <w:sz w:val="18"/>
          <w:szCs w:val="18"/>
        </w:rPr>
        <w:tab/>
        <w:t>HRFS CVD</w:t>
      </w:r>
      <w:r w:rsidRPr="00A90241">
        <w:rPr>
          <w:rFonts w:ascii="Times New Roman" w:hAnsi="Times New Roman" w:cs="Times New Roman"/>
          <w:sz w:val="18"/>
          <w:szCs w:val="18"/>
          <w:lang w:val="bg-BG"/>
        </w:rPr>
        <w:t xml:space="preserve"> </w:t>
      </w:r>
      <w:r w:rsidRPr="00A90241">
        <w:rPr>
          <w:rFonts w:ascii="Times New Roman" w:hAnsi="Times New Roman" w:cs="Times New Roman"/>
          <w:sz w:val="18"/>
          <w:szCs w:val="18"/>
        </w:rPr>
        <w:t>Regulation</w:t>
      </w:r>
      <w:r w:rsidRPr="00A90241">
        <w:rPr>
          <w:rFonts w:ascii="Times New Roman" w:hAnsi="Times New Roman" w:cs="Times New Roman"/>
          <w:sz w:val="18"/>
          <w:szCs w:val="18"/>
          <w:lang w:val="bg-BG"/>
        </w:rPr>
        <w:t xml:space="preserve">, </w:t>
      </w:r>
      <w:r w:rsidRPr="00A90241">
        <w:rPr>
          <w:rFonts w:ascii="Times New Roman" w:hAnsi="Times New Roman" w:cs="Times New Roman"/>
          <w:sz w:val="18"/>
          <w:szCs w:val="18"/>
        </w:rPr>
        <w:t>recitals</w:t>
      </w:r>
      <w:r w:rsidRPr="00A90241">
        <w:rPr>
          <w:rFonts w:ascii="Times New Roman" w:hAnsi="Times New Roman" w:cs="Times New Roman"/>
          <w:sz w:val="18"/>
          <w:szCs w:val="18"/>
          <w:lang w:val="bg-BG"/>
        </w:rPr>
        <w:t xml:space="preserve"> 57 </w:t>
      </w:r>
      <w:r w:rsidRPr="00A90241">
        <w:rPr>
          <w:rFonts w:ascii="Times New Roman" w:hAnsi="Times New Roman" w:cs="Times New Roman"/>
          <w:sz w:val="18"/>
          <w:szCs w:val="18"/>
        </w:rPr>
        <w:t>and</w:t>
      </w:r>
      <w:r w:rsidRPr="00A90241">
        <w:rPr>
          <w:rFonts w:ascii="Times New Roman" w:hAnsi="Times New Roman" w:cs="Times New Roman"/>
          <w:sz w:val="18"/>
          <w:szCs w:val="18"/>
          <w:lang w:val="bg-BG"/>
        </w:rPr>
        <w:t xml:space="preserve"> 243</w:t>
      </w:r>
      <w:r w:rsidRPr="00A90241">
        <w:rPr>
          <w:rFonts w:ascii="Times New Roman" w:hAnsi="Times New Roman" w:cs="Times New Roman"/>
          <w:sz w:val="18"/>
          <w:szCs w:val="18"/>
        </w:rPr>
        <w:t xml:space="preserve">. </w:t>
      </w:r>
    </w:p>
  </w:footnote>
  <w:footnote w:id="38">
    <w:p w:rsidR="00A90241" w:rsidRPr="00A90241" w:rsidRDefault="00A90241" w:rsidP="00A90241">
      <w:pPr>
        <w:tabs>
          <w:tab w:val="left" w:pos="0"/>
        </w:tabs>
        <w:ind w:left="720" w:hanging="720"/>
        <w:jc w:val="both"/>
        <w:rPr>
          <w:rFonts w:ascii="Times New Roman" w:hAnsi="Times New Roman" w:cs="Times New Roman"/>
          <w:sz w:val="18"/>
          <w:szCs w:val="18"/>
        </w:rPr>
      </w:pPr>
      <w:r w:rsidRPr="00A90241">
        <w:rPr>
          <w:rStyle w:val="FootnoteReference"/>
          <w:rFonts w:ascii="Times New Roman" w:hAnsi="Times New Roman" w:cs="Times New Roman"/>
          <w:sz w:val="18"/>
          <w:szCs w:val="18"/>
        </w:rPr>
        <w:footnoteRef/>
      </w:r>
      <w:r w:rsidRPr="00A90241">
        <w:rPr>
          <w:rFonts w:ascii="Times New Roman" w:hAnsi="Times New Roman" w:cs="Times New Roman"/>
          <w:sz w:val="18"/>
          <w:szCs w:val="18"/>
        </w:rPr>
        <w:t xml:space="preserve">  </w:t>
      </w:r>
      <w:r w:rsidRPr="00A90241">
        <w:rPr>
          <w:rFonts w:ascii="Times New Roman" w:hAnsi="Times New Roman" w:cs="Times New Roman"/>
          <w:sz w:val="18"/>
          <w:szCs w:val="18"/>
        </w:rPr>
        <w:tab/>
        <w:t>HRFS CVD Regulation, recitals 345-354</w:t>
      </w:r>
      <w:proofErr w:type="gramStart"/>
      <w:r w:rsidRPr="00A90241">
        <w:rPr>
          <w:rFonts w:ascii="Times New Roman" w:hAnsi="Times New Roman" w:cs="Times New Roman"/>
          <w:sz w:val="18"/>
          <w:szCs w:val="18"/>
        </w:rPr>
        <w:t>..</w:t>
      </w:r>
      <w:proofErr w:type="gramEnd"/>
    </w:p>
  </w:footnote>
  <w:footnote w:id="39">
    <w:p w:rsidR="00A90241" w:rsidRPr="00A90241" w:rsidRDefault="00A90241" w:rsidP="00A90241">
      <w:pPr>
        <w:tabs>
          <w:tab w:val="left" w:pos="0"/>
        </w:tabs>
        <w:ind w:left="720" w:hanging="720"/>
        <w:jc w:val="both"/>
        <w:rPr>
          <w:rFonts w:ascii="Times New Roman" w:hAnsi="Times New Roman" w:cs="Times New Roman"/>
          <w:sz w:val="18"/>
          <w:szCs w:val="18"/>
        </w:rPr>
      </w:pPr>
      <w:r w:rsidRPr="00A90241">
        <w:rPr>
          <w:rStyle w:val="FootnoteReference"/>
          <w:rFonts w:ascii="Times New Roman" w:hAnsi="Times New Roman" w:cs="Times New Roman"/>
          <w:sz w:val="18"/>
          <w:szCs w:val="18"/>
        </w:rPr>
        <w:footnoteRef/>
      </w:r>
      <w:r w:rsidRPr="00A90241">
        <w:rPr>
          <w:rFonts w:ascii="Times New Roman" w:hAnsi="Times New Roman" w:cs="Times New Roman"/>
          <w:sz w:val="18"/>
          <w:szCs w:val="18"/>
        </w:rPr>
        <w:t xml:space="preserve">  </w:t>
      </w:r>
      <w:r w:rsidRPr="00A90241">
        <w:rPr>
          <w:rFonts w:ascii="Times New Roman" w:hAnsi="Times New Roman" w:cs="Times New Roman"/>
          <w:sz w:val="18"/>
          <w:szCs w:val="18"/>
        </w:rPr>
        <w:tab/>
        <w:t xml:space="preserve">HRFS CVD Regulation, recitals 319-324. </w:t>
      </w:r>
    </w:p>
  </w:footnote>
  <w:footnote w:id="40">
    <w:p w:rsidR="00A90241" w:rsidRPr="00A1419E" w:rsidRDefault="00A90241" w:rsidP="00A90241">
      <w:pPr>
        <w:tabs>
          <w:tab w:val="left" w:pos="0"/>
        </w:tabs>
        <w:ind w:left="720" w:hanging="720"/>
        <w:jc w:val="both"/>
        <w:rPr>
          <w:sz w:val="18"/>
          <w:szCs w:val="18"/>
        </w:rPr>
      </w:pPr>
      <w:r w:rsidRPr="00A90241">
        <w:rPr>
          <w:rStyle w:val="FootnoteReference"/>
          <w:rFonts w:ascii="Times New Roman" w:hAnsi="Times New Roman" w:cs="Times New Roman"/>
          <w:sz w:val="18"/>
          <w:szCs w:val="18"/>
        </w:rPr>
        <w:footnoteRef/>
      </w:r>
      <w:r w:rsidRPr="00A90241">
        <w:rPr>
          <w:rFonts w:ascii="Times New Roman" w:hAnsi="Times New Roman" w:cs="Times New Roman"/>
          <w:sz w:val="18"/>
          <w:szCs w:val="18"/>
        </w:rPr>
        <w:t xml:space="preserve"> </w:t>
      </w:r>
      <w:r w:rsidRPr="00A90241">
        <w:rPr>
          <w:rFonts w:ascii="Times New Roman" w:hAnsi="Times New Roman" w:cs="Times New Roman"/>
          <w:sz w:val="18"/>
          <w:szCs w:val="18"/>
        </w:rPr>
        <w:tab/>
        <w:t>HRFS CVD</w:t>
      </w:r>
      <w:r w:rsidRPr="00A90241">
        <w:rPr>
          <w:rFonts w:ascii="Times New Roman" w:hAnsi="Times New Roman" w:cs="Times New Roman"/>
          <w:sz w:val="18"/>
          <w:szCs w:val="18"/>
          <w:lang w:val="bg-BG"/>
        </w:rPr>
        <w:t xml:space="preserve"> </w:t>
      </w:r>
      <w:r w:rsidRPr="00A90241">
        <w:rPr>
          <w:rFonts w:ascii="Times New Roman" w:hAnsi="Times New Roman" w:cs="Times New Roman"/>
          <w:sz w:val="18"/>
          <w:szCs w:val="18"/>
        </w:rPr>
        <w:t>Regulation</w:t>
      </w:r>
      <w:proofErr w:type="gramStart"/>
      <w:r w:rsidRPr="00A90241">
        <w:rPr>
          <w:rFonts w:ascii="Times New Roman" w:hAnsi="Times New Roman" w:cs="Times New Roman"/>
          <w:sz w:val="18"/>
          <w:szCs w:val="18"/>
        </w:rPr>
        <w:t>..</w:t>
      </w:r>
      <w:proofErr w:type="gramEnd"/>
    </w:p>
  </w:footnote>
  <w:footnote w:id="41">
    <w:p w:rsidR="00A90241" w:rsidRPr="00A1419E" w:rsidRDefault="00A90241" w:rsidP="00A90241">
      <w:pPr>
        <w:pStyle w:val="FootnoteText"/>
      </w:pPr>
      <w:r w:rsidRPr="00A1419E">
        <w:rPr>
          <w:rStyle w:val="FootnoteReference"/>
          <w:szCs w:val="18"/>
        </w:rPr>
        <w:footnoteRef/>
      </w:r>
      <w:r w:rsidRPr="00A1419E">
        <w:t xml:space="preserve"> </w:t>
      </w:r>
      <w:r w:rsidRPr="00A1419E">
        <w:tab/>
        <w:t>Chongqing Iron &amp; Steel Company Ltd, Annual Report 2020, p. 292.</w:t>
      </w:r>
    </w:p>
  </w:footnote>
  <w:footnote w:id="42">
    <w:p w:rsidR="00A90241" w:rsidRPr="00A1419E" w:rsidRDefault="00A90241" w:rsidP="00A90241">
      <w:pPr>
        <w:pStyle w:val="FootnoteText"/>
      </w:pPr>
      <w:r w:rsidRPr="00A1419E">
        <w:rPr>
          <w:rStyle w:val="FootnoteReference"/>
          <w:szCs w:val="18"/>
        </w:rPr>
        <w:footnoteRef/>
      </w:r>
      <w:r w:rsidRPr="00A1419E">
        <w:t xml:space="preserve"> </w:t>
      </w:r>
      <w:r w:rsidRPr="00A1419E">
        <w:tab/>
      </w:r>
      <w:proofErr w:type="spellStart"/>
      <w:r w:rsidRPr="00A1419E">
        <w:t>Maanshan</w:t>
      </w:r>
      <w:proofErr w:type="spellEnd"/>
      <w:r w:rsidRPr="00A1419E">
        <w:t xml:space="preserve"> Iron &amp; Steel Company Limited, 2020Annual Report, page 21. </w:t>
      </w:r>
    </w:p>
  </w:footnote>
  <w:footnote w:id="43">
    <w:p w:rsidR="00A90241" w:rsidRPr="00A1419E" w:rsidRDefault="00A90241" w:rsidP="00A90241">
      <w:pPr>
        <w:pStyle w:val="FootnoteText"/>
      </w:pPr>
      <w:r w:rsidRPr="00A1419E">
        <w:rPr>
          <w:rStyle w:val="FootnoteReference"/>
          <w:szCs w:val="18"/>
        </w:rPr>
        <w:footnoteRef/>
      </w:r>
      <w:r w:rsidRPr="00A1419E">
        <w:t xml:space="preserve"> </w:t>
      </w:r>
      <w:r w:rsidRPr="00A1419E">
        <w:tab/>
      </w:r>
      <w:proofErr w:type="spellStart"/>
      <w:r w:rsidRPr="00A1419E">
        <w:t>Angang</w:t>
      </w:r>
      <w:proofErr w:type="spellEnd"/>
      <w:r w:rsidRPr="00A1419E">
        <w:t xml:space="preserve"> Steel Company, Annual report 2020, page 296. </w:t>
      </w:r>
    </w:p>
  </w:footnote>
  <w:footnote w:id="44">
    <w:p w:rsidR="00A90241" w:rsidRPr="00A90241" w:rsidRDefault="00A90241" w:rsidP="00A90241">
      <w:pPr>
        <w:pStyle w:val="FootnoteText"/>
      </w:pPr>
      <w:r w:rsidRPr="00A1419E">
        <w:rPr>
          <w:rStyle w:val="FootnoteReference"/>
          <w:szCs w:val="18"/>
        </w:rPr>
        <w:footnoteRef/>
      </w:r>
      <w:r w:rsidRPr="00A1419E">
        <w:t xml:space="preserve"> </w:t>
      </w:r>
      <w:r w:rsidRPr="00A1419E">
        <w:tab/>
      </w:r>
      <w:proofErr w:type="spellStart"/>
      <w:r w:rsidRPr="00A90241">
        <w:t>FitchRatings</w:t>
      </w:r>
      <w:proofErr w:type="spellEnd"/>
      <w:r w:rsidRPr="00A90241">
        <w:t xml:space="preserve">, ‘Spotlight: China </w:t>
      </w:r>
      <w:proofErr w:type="spellStart"/>
      <w:r w:rsidRPr="00A90241">
        <w:t>Baowu</w:t>
      </w:r>
      <w:proofErr w:type="spellEnd"/>
      <w:r w:rsidRPr="00A90241">
        <w:t xml:space="preserve"> Steel’, 27 Jun 2021, </w:t>
      </w:r>
      <w:hyperlink r:id="rId3" w:history="1">
        <w:r w:rsidRPr="00A90241">
          <w:rPr>
            <w:rStyle w:val="Hyperlink"/>
            <w:szCs w:val="18"/>
          </w:rPr>
          <w:t>https://www.fitchratings.com/research/corporate-finance/spotlight-china-bauwu-steel-27-06-2021</w:t>
        </w:r>
      </w:hyperlink>
      <w:r w:rsidRPr="00A90241">
        <w:t xml:space="preserve"> </w:t>
      </w:r>
    </w:p>
  </w:footnote>
  <w:footnote w:id="45">
    <w:p w:rsidR="00A90241" w:rsidRPr="00070C0F" w:rsidRDefault="00A90241" w:rsidP="00A90241">
      <w:pPr>
        <w:pStyle w:val="FootnoteText"/>
        <w:rPr>
          <w:i/>
        </w:rPr>
      </w:pPr>
      <w:r w:rsidRPr="00A90241">
        <w:rPr>
          <w:rStyle w:val="FootnoteReference"/>
          <w:szCs w:val="18"/>
        </w:rPr>
        <w:footnoteRef/>
      </w:r>
      <w:r w:rsidRPr="00A90241">
        <w:t xml:space="preserve"> </w:t>
      </w:r>
      <w:r w:rsidRPr="00A90241">
        <w:tab/>
        <w:t>National People’s Congress, 14</w:t>
      </w:r>
      <w:r w:rsidRPr="00A90241">
        <w:rPr>
          <w:vertAlign w:val="superscript"/>
        </w:rPr>
        <w:t>th</w:t>
      </w:r>
      <w:r w:rsidRPr="00A90241">
        <w:t xml:space="preserve"> Five-Year Plan, translation into English by </w:t>
      </w:r>
      <w:proofErr w:type="spellStart"/>
      <w:r w:rsidRPr="00A90241">
        <w:t>Center</w:t>
      </w:r>
      <w:proofErr w:type="spellEnd"/>
      <w:r w:rsidRPr="00A90241">
        <w:t xml:space="preserve"> for Security and Emerging Technology, 12 March 2021, p. 26, </w:t>
      </w:r>
      <w:hyperlink r:id="rId4" w:history="1">
        <w:r w:rsidRPr="00070C0F">
          <w:rPr>
            <w:rStyle w:val="Hyperlink"/>
            <w:szCs w:val="18"/>
          </w:rPr>
          <w:t>https://cset.georgetown.edu/wp-content/uploads/t0284_14th_Five_Year_Plan_EN.pdf</w:t>
        </w:r>
      </w:hyperlink>
      <w:r w:rsidRPr="00070C0F">
        <w:t xml:space="preserve"> </w:t>
      </w:r>
    </w:p>
  </w:footnote>
  <w:footnote w:id="46">
    <w:p w:rsidR="00A90241" w:rsidRPr="00070C0F" w:rsidRDefault="00A90241" w:rsidP="00A90241">
      <w:pPr>
        <w:tabs>
          <w:tab w:val="left" w:pos="0"/>
        </w:tabs>
        <w:ind w:left="720" w:hanging="720"/>
        <w:jc w:val="both"/>
        <w:rPr>
          <w:rFonts w:ascii="Times New Roman" w:hAnsi="Times New Roman" w:cs="Times New Roman"/>
          <w:sz w:val="18"/>
          <w:szCs w:val="18"/>
        </w:rPr>
      </w:pPr>
      <w:r w:rsidRPr="00070C0F">
        <w:rPr>
          <w:rStyle w:val="FootnoteReference"/>
          <w:rFonts w:ascii="Times New Roman" w:hAnsi="Times New Roman" w:cs="Times New Roman"/>
          <w:sz w:val="18"/>
          <w:szCs w:val="18"/>
        </w:rPr>
        <w:footnoteRef/>
      </w:r>
      <w:r w:rsidRPr="00070C0F">
        <w:rPr>
          <w:rFonts w:ascii="Times New Roman" w:hAnsi="Times New Roman" w:cs="Times New Roman"/>
          <w:sz w:val="18"/>
          <w:szCs w:val="18"/>
        </w:rPr>
        <w:t xml:space="preserve"> </w:t>
      </w:r>
      <w:r w:rsidRPr="00070C0F">
        <w:rPr>
          <w:rFonts w:ascii="Times New Roman" w:hAnsi="Times New Roman" w:cs="Times New Roman"/>
          <w:sz w:val="18"/>
          <w:szCs w:val="18"/>
        </w:rPr>
        <w:tab/>
        <w:t xml:space="preserve">Council Implementing Regulation (EU) No 214/2013 of 11 March 2013 imposing a definitive anti-dumping duty and collecting definitively the provisional duty imposed on imports of certain organic coated steel products originating in the People’s Republic of China, OJ L 73, 15.3.2013, p.1. </w:t>
      </w:r>
    </w:p>
  </w:footnote>
  <w:footnote w:id="47">
    <w:p w:rsidR="00A90241" w:rsidRPr="00A1419E" w:rsidRDefault="00A90241" w:rsidP="00A90241">
      <w:pPr>
        <w:tabs>
          <w:tab w:val="left" w:pos="0"/>
        </w:tabs>
        <w:ind w:left="720" w:hanging="720"/>
        <w:jc w:val="both"/>
        <w:rPr>
          <w:sz w:val="18"/>
          <w:szCs w:val="18"/>
        </w:rPr>
      </w:pPr>
      <w:r w:rsidRPr="00070C0F">
        <w:rPr>
          <w:rStyle w:val="FootnoteReference"/>
          <w:rFonts w:ascii="Times New Roman" w:hAnsi="Times New Roman" w:cs="Times New Roman"/>
          <w:sz w:val="18"/>
          <w:szCs w:val="18"/>
        </w:rPr>
        <w:footnoteRef/>
      </w:r>
      <w:r w:rsidRPr="00070C0F">
        <w:rPr>
          <w:rFonts w:ascii="Times New Roman" w:hAnsi="Times New Roman" w:cs="Times New Roman"/>
          <w:sz w:val="18"/>
          <w:szCs w:val="18"/>
        </w:rPr>
        <w:t xml:space="preserve"> </w:t>
      </w:r>
      <w:r w:rsidRPr="00070C0F">
        <w:rPr>
          <w:rFonts w:ascii="Times New Roman" w:hAnsi="Times New Roman" w:cs="Times New Roman"/>
          <w:sz w:val="18"/>
          <w:szCs w:val="18"/>
        </w:rPr>
        <w:tab/>
        <w:t xml:space="preserve">HRFS CVD Definitive Regulation, recital 274. </w:t>
      </w:r>
    </w:p>
  </w:footnote>
  <w:footnote w:id="48">
    <w:p w:rsidR="00A90241" w:rsidRPr="00A1419E" w:rsidRDefault="00A90241" w:rsidP="00A90241">
      <w:pPr>
        <w:pStyle w:val="FootnoteText"/>
        <w:rPr>
          <w:szCs w:val="18"/>
        </w:rPr>
      </w:pPr>
      <w:r w:rsidRPr="00A1419E">
        <w:rPr>
          <w:rStyle w:val="FootnoteReference"/>
          <w:szCs w:val="18"/>
        </w:rPr>
        <w:footnoteRef/>
      </w:r>
      <w:r w:rsidRPr="00A1419E">
        <w:rPr>
          <w:szCs w:val="18"/>
        </w:rPr>
        <w:t xml:space="preserve"> </w:t>
      </w:r>
      <w:r w:rsidRPr="00A1419E">
        <w:rPr>
          <w:szCs w:val="18"/>
        </w:rPr>
        <w:tab/>
      </w:r>
      <w:hyperlink r:id="rId5" w:history="1">
        <w:r w:rsidRPr="00A1419E">
          <w:rPr>
            <w:rStyle w:val="Hyperlink"/>
            <w:szCs w:val="18"/>
          </w:rPr>
          <w:t>http://www.compareyourcountry.org/trade-in-raw-materials/en/0/FEORE_CRUDE/all/default/2018</w:t>
        </w:r>
      </w:hyperlink>
    </w:p>
  </w:footnote>
  <w:footnote w:id="49">
    <w:p w:rsidR="00A90241" w:rsidRPr="00A1419E" w:rsidRDefault="00A90241" w:rsidP="00A90241">
      <w:pPr>
        <w:pStyle w:val="FootnoteText"/>
        <w:rPr>
          <w:szCs w:val="18"/>
          <w:lang w:val="en-US"/>
        </w:rPr>
      </w:pPr>
      <w:r w:rsidRPr="00A1419E">
        <w:rPr>
          <w:rStyle w:val="FootnoteReference"/>
          <w:szCs w:val="18"/>
        </w:rPr>
        <w:footnoteRef/>
      </w:r>
      <w:r w:rsidRPr="00A1419E">
        <w:rPr>
          <w:szCs w:val="18"/>
        </w:rPr>
        <w:t xml:space="preserve"> </w:t>
      </w:r>
      <w:r w:rsidRPr="00A1419E">
        <w:rPr>
          <w:szCs w:val="18"/>
        </w:rPr>
        <w:tab/>
      </w:r>
      <w:hyperlink r:id="rId6" w:history="1">
        <w:r w:rsidRPr="00A1419E">
          <w:rPr>
            <w:rStyle w:val="Hyperlink"/>
            <w:szCs w:val="18"/>
          </w:rPr>
          <w:t>http://www.compareyourcountry.org/trade-in-raw-materials/en/0/COKING_COAL/all/default/2019</w:t>
        </w:r>
      </w:hyperlink>
    </w:p>
  </w:footnote>
  <w:footnote w:id="50">
    <w:p w:rsidR="00A90241" w:rsidRPr="00A1419E" w:rsidRDefault="00A90241" w:rsidP="00A90241">
      <w:pPr>
        <w:pStyle w:val="FootnoteText"/>
        <w:rPr>
          <w:szCs w:val="18"/>
        </w:rPr>
      </w:pPr>
      <w:r w:rsidRPr="00A1419E">
        <w:rPr>
          <w:rStyle w:val="FootnoteReference"/>
          <w:szCs w:val="18"/>
        </w:rPr>
        <w:footnoteRef/>
      </w:r>
      <w:r w:rsidRPr="00A1419E">
        <w:rPr>
          <w:szCs w:val="18"/>
        </w:rPr>
        <w:t xml:space="preserve"> </w:t>
      </w:r>
      <w:r w:rsidRPr="00A1419E">
        <w:rPr>
          <w:szCs w:val="18"/>
        </w:rPr>
        <w:tab/>
      </w:r>
      <w:hyperlink r:id="rId7" w:history="1">
        <w:r w:rsidRPr="00A1419E">
          <w:rPr>
            <w:rStyle w:val="Hyperlink"/>
            <w:szCs w:val="18"/>
          </w:rPr>
          <w:t>https://www.oecd.org/trade/topics/trade-in-raw-materials/documents/methodological-note-inventory-export-restrictions-industrial-raw-materials.pdf</w:t>
        </w:r>
      </w:hyperlink>
    </w:p>
  </w:footnote>
  <w:footnote w:id="51">
    <w:p w:rsidR="00A90241" w:rsidRPr="00A1419E" w:rsidRDefault="00A90241" w:rsidP="00A90241">
      <w:pPr>
        <w:pStyle w:val="FootnoteText"/>
      </w:pPr>
      <w:r w:rsidRPr="00A1419E">
        <w:rPr>
          <w:rStyle w:val="FootnoteReference"/>
          <w:szCs w:val="18"/>
        </w:rPr>
        <w:footnoteRef/>
      </w:r>
      <w:r w:rsidRPr="00A1419E">
        <w:t xml:space="preserve"> </w:t>
      </w:r>
      <w:r w:rsidRPr="00A1419E">
        <w:tab/>
        <w:t>National People’s Congress, 14</w:t>
      </w:r>
      <w:r w:rsidRPr="00A1419E">
        <w:rPr>
          <w:vertAlign w:val="superscript"/>
        </w:rPr>
        <w:t>th</w:t>
      </w:r>
      <w:r w:rsidRPr="00A1419E">
        <w:t xml:space="preserve"> Five-Year Plan, translation into English by </w:t>
      </w:r>
      <w:proofErr w:type="spellStart"/>
      <w:r w:rsidRPr="00A1419E">
        <w:t>Center</w:t>
      </w:r>
      <w:proofErr w:type="spellEnd"/>
      <w:r w:rsidRPr="00A1419E">
        <w:t xml:space="preserve"> for Security and Emerging Technology, 12 March 2021, </w:t>
      </w:r>
      <w:hyperlink r:id="rId8" w:history="1">
        <w:r w:rsidRPr="00A1419E">
          <w:rPr>
            <w:rStyle w:val="Hyperlink"/>
            <w:szCs w:val="18"/>
          </w:rPr>
          <w:t>https://cset.georgetown.edu/wp-content/uploads/t0284_14th_Five_Year_Plan_EN.pdf</w:t>
        </w:r>
      </w:hyperlink>
    </w:p>
  </w:footnote>
  <w:footnote w:id="52">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Global Times, “China to accelerate domestic iron ore exploration to secure domestic supply: CISA”, 29 July 2021, </w:t>
      </w:r>
      <w:hyperlink r:id="rId9" w:history="1">
        <w:r w:rsidRPr="00A1419E">
          <w:rPr>
            <w:rStyle w:val="Hyperlink"/>
            <w:szCs w:val="18"/>
          </w:rPr>
          <w:t>https://www.globaltimes.cn/page/202107/1229999.shtml</w:t>
        </w:r>
      </w:hyperlink>
      <w:r w:rsidRPr="00A1419E">
        <w:t xml:space="preserve"> </w:t>
      </w:r>
    </w:p>
  </w:footnote>
  <w:footnote w:id="53">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Reuters, “Chinese regulators launch probe into spot iron ore trading”, 21 June 2021, included in </w:t>
      </w:r>
      <w:hyperlink r:id="rId10" w:history="1">
        <w:r w:rsidRPr="00A1419E">
          <w:rPr>
            <w:rStyle w:val="Hyperlink"/>
            <w:szCs w:val="18"/>
          </w:rPr>
          <w:t>https://www.reuters.com/article/us-china-iron-ore-idUSKCN2DX0EE</w:t>
        </w:r>
      </w:hyperlink>
      <w:r w:rsidRPr="00A1419E">
        <w:rPr>
          <w:rStyle w:val="Hyperlink"/>
          <w:szCs w:val="18"/>
        </w:rPr>
        <w:t xml:space="preserve"> regulators launch probe into</w:t>
      </w:r>
      <w:r w:rsidRPr="00A1419E">
        <w:t xml:space="preserve"> </w:t>
      </w:r>
    </w:p>
  </w:footnote>
  <w:footnote w:id="54">
    <w:p w:rsidR="00A90241" w:rsidRPr="00A1419E" w:rsidRDefault="00A90241" w:rsidP="00A90241">
      <w:pPr>
        <w:pStyle w:val="FootnoteText"/>
      </w:pPr>
      <w:r w:rsidRPr="00A1419E">
        <w:rPr>
          <w:rStyle w:val="FootnoteReference"/>
          <w:szCs w:val="18"/>
        </w:rPr>
        <w:footnoteRef/>
      </w:r>
      <w:r w:rsidRPr="00A1419E">
        <w:t xml:space="preserve"> </w:t>
      </w:r>
      <w:r w:rsidRPr="00A1419E">
        <w:tab/>
        <w:t>Nasdaq, “China investigates commodity prices and supplies”, 23 June 2021</w:t>
      </w:r>
      <w:proofErr w:type="gramStart"/>
      <w:r w:rsidRPr="00A1419E">
        <w:t>,</w:t>
      </w:r>
      <w:r w:rsidR="007F5217">
        <w:t>.</w:t>
      </w:r>
      <w:proofErr w:type="gramEnd"/>
      <w:hyperlink r:id="rId11" w:history="1">
        <w:r w:rsidRPr="00A1419E">
          <w:rPr>
            <w:rStyle w:val="Hyperlink"/>
            <w:szCs w:val="18"/>
          </w:rPr>
          <w:t>https://www.nasdaq.com/articles/china-investigates-commodity-prices-and-supplies-2021-06-23</w:t>
        </w:r>
      </w:hyperlink>
      <w:r w:rsidRPr="00A1419E">
        <w:t xml:space="preserve"> </w:t>
      </w:r>
    </w:p>
  </w:footnote>
  <w:footnote w:id="55">
    <w:p w:rsidR="00A90241" w:rsidRPr="00A1419E" w:rsidRDefault="00A90241" w:rsidP="00A90241">
      <w:pPr>
        <w:pStyle w:val="FootnoteText"/>
      </w:pPr>
      <w:r w:rsidRPr="00A1419E">
        <w:rPr>
          <w:rStyle w:val="FootnoteReference"/>
          <w:szCs w:val="18"/>
        </w:rPr>
        <w:footnoteRef/>
      </w:r>
      <w:r w:rsidRPr="00A1419E">
        <w:t xml:space="preserve"> </w:t>
      </w:r>
      <w:r w:rsidRPr="00A1419E">
        <w:tab/>
        <w:t>Reuters, “China intervenes to manage com</w:t>
      </w:r>
      <w:r w:rsidR="007F5217">
        <w:t>modity prices”, 04 August 2021.</w:t>
      </w:r>
      <w:r w:rsidRPr="00A1419E">
        <w:t xml:space="preserve"> </w:t>
      </w:r>
      <w:hyperlink r:id="rId12" w:history="1">
        <w:r w:rsidRPr="00A1419E">
          <w:rPr>
            <w:rStyle w:val="Hyperlink"/>
            <w:szCs w:val="18"/>
          </w:rPr>
          <w:t>https://www.reuters.com/world/china/china-intervenes-manage-commodity-prices-2021-08-04/</w:t>
        </w:r>
      </w:hyperlink>
      <w:r w:rsidRPr="00A1419E">
        <w:t xml:space="preserve"> </w:t>
      </w:r>
    </w:p>
  </w:footnote>
  <w:footnote w:id="56">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Reuters, “Chinese regulators launch probe into spot </w:t>
      </w:r>
      <w:r>
        <w:t>iron ore trading”, 21 June 2021.</w:t>
      </w:r>
      <w:r w:rsidRPr="00A1419E">
        <w:t xml:space="preserve">  </w:t>
      </w:r>
      <w:hyperlink r:id="rId13" w:history="1">
        <w:r w:rsidRPr="00A1419E">
          <w:rPr>
            <w:rStyle w:val="Hyperlink"/>
            <w:szCs w:val="18"/>
          </w:rPr>
          <w:t>https://www.reuters.com/article/us-china-iron-ore-idUSKCN2DX0EE</w:t>
        </w:r>
      </w:hyperlink>
      <w:r w:rsidRPr="00A1419E">
        <w:t xml:space="preserve"> </w:t>
      </w:r>
    </w:p>
  </w:footnote>
  <w:footnote w:id="57">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The Market Herald, “ Iron ore takes a hit as China launches </w:t>
      </w:r>
      <w:proofErr w:type="spellStart"/>
      <w:r w:rsidRPr="00A1419E">
        <w:t>proble</w:t>
      </w:r>
      <w:proofErr w:type="spellEnd"/>
      <w:r w:rsidRPr="00A1419E">
        <w:t xml:space="preserve"> into high prices”, 22 June 2021, </w:t>
      </w:r>
      <w:hyperlink r:id="rId14" w:history="1">
        <w:r w:rsidRPr="00A1419E">
          <w:rPr>
            <w:rStyle w:val="Hyperlink"/>
            <w:szCs w:val="18"/>
          </w:rPr>
          <w:t>https://themarketherald.com.au/iron-ore-takes-hit-as-china-launches-probe-into-high-prices-2021-06-22/</w:t>
        </w:r>
      </w:hyperlink>
      <w:r w:rsidRPr="00A1419E">
        <w:t xml:space="preserve"> </w:t>
      </w:r>
    </w:p>
  </w:footnote>
  <w:footnote w:id="58">
    <w:p w:rsidR="00A90241" w:rsidRPr="00A1419E" w:rsidRDefault="00A90241" w:rsidP="00A90241">
      <w:pPr>
        <w:pStyle w:val="FootnoteText"/>
      </w:pPr>
      <w:r w:rsidRPr="00A1419E">
        <w:rPr>
          <w:rStyle w:val="FootnoteReference"/>
          <w:szCs w:val="18"/>
        </w:rPr>
        <w:footnoteRef/>
      </w:r>
      <w:r w:rsidRPr="00A1419E">
        <w:t xml:space="preserve"> </w:t>
      </w:r>
      <w:r w:rsidRPr="00A1419E">
        <w:tab/>
        <w:t xml:space="preserve">Reuters, </w:t>
      </w:r>
      <w:r w:rsidRPr="00A1419E">
        <w:rPr>
          <w:i/>
        </w:rPr>
        <w:t xml:space="preserve">China outlines rescue plan for </w:t>
      </w:r>
      <w:proofErr w:type="spellStart"/>
      <w:r w:rsidRPr="00A1419E">
        <w:rPr>
          <w:i/>
        </w:rPr>
        <w:t>Bohai</w:t>
      </w:r>
      <w:proofErr w:type="spellEnd"/>
      <w:r w:rsidRPr="00A1419E">
        <w:rPr>
          <w:i/>
        </w:rPr>
        <w:t xml:space="preserve"> Steel</w:t>
      </w:r>
      <w:r w:rsidRPr="00A1419E">
        <w:t xml:space="preserve">, 19 September 2016, </w:t>
      </w:r>
      <w:hyperlink r:id="rId15" w:history="1">
        <w:r w:rsidRPr="00A1419E">
          <w:rPr>
            <w:rStyle w:val="Hyperlink"/>
            <w:szCs w:val="18"/>
          </w:rPr>
          <w:t>https://www.ft.com/content/bceb085a-7e39-11e6-bc52-0c7211ef3198</w:t>
        </w:r>
      </w:hyperlink>
      <w:r w:rsidRPr="00A1419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068EF"/>
    <w:multiLevelType w:val="multilevel"/>
    <w:tmpl w:val="EEDAA2A0"/>
    <w:lvl w:ilvl="0">
      <w:start w:val="1"/>
      <w:numFmt w:val="decimal"/>
      <w:pStyle w:val="EUROFER1"/>
      <w:lvlText w:val="%1."/>
      <w:lvlJc w:val="left"/>
      <w:pPr>
        <w:ind w:left="36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3835"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EUROFER3"/>
      <w:lvlText w:val="%1.%2.%3."/>
      <w:lvlJc w:val="left"/>
      <w:pPr>
        <w:ind w:left="1224" w:hanging="5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5"/>
      <w:lvlText w:val="%1.%2.%3.%4."/>
      <w:lvlJc w:val="left"/>
      <w:pPr>
        <w:ind w:left="64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EUROFER6"/>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17166"/>
    <w:multiLevelType w:val="multilevel"/>
    <w:tmpl w:val="37621002"/>
    <w:lvl w:ilvl="0">
      <w:start w:val="1"/>
      <w:numFmt w:val="upperRoman"/>
      <w:lvlText w:val="%1."/>
      <w:lvlJc w:val="left"/>
      <w:pPr>
        <w:ind w:left="360" w:hanging="360"/>
      </w:pPr>
      <w:rPr>
        <w:b/>
        <w:i w:val="0"/>
        <w:color w:val="000000"/>
        <w:sz w:val="26"/>
      </w:rPr>
    </w:lvl>
    <w:lvl w:ilvl="1">
      <w:start w:val="1"/>
      <w:numFmt w:val="decimal"/>
      <w:isLgl/>
      <w:lvlText w:val="%1.%2"/>
      <w:lvlJc w:val="left"/>
      <w:pPr>
        <w:tabs>
          <w:tab w:val="num" w:pos="720"/>
        </w:tabs>
        <w:ind w:left="720" w:hanging="720"/>
      </w:pPr>
      <w:rPr>
        <w:rFonts w:ascii="Times New Roman" w:hAnsi="Times New Roman" w:cs="Times New Roman" w:hint="default"/>
        <w:b/>
        <w:i w:val="0"/>
        <w:color w:val="000000"/>
        <w:sz w:val="22"/>
      </w:rPr>
    </w:lvl>
    <w:lvl w:ilvl="2">
      <w:start w:val="1"/>
      <w:numFmt w:val="lowerLetter"/>
      <w:lvlText w:val="(%3)"/>
      <w:lvlJc w:val="left"/>
      <w:pPr>
        <w:tabs>
          <w:tab w:val="num" w:pos="1440"/>
        </w:tabs>
        <w:ind w:left="1440" w:hanging="720"/>
      </w:pPr>
      <w:rPr>
        <w:color w:val="000000"/>
      </w:rPr>
    </w:lvl>
    <w:lvl w:ilvl="3">
      <w:start w:val="1"/>
      <w:numFmt w:val="lowerRoman"/>
      <w:lvlText w:val="(%4)"/>
      <w:lvlJc w:val="left"/>
      <w:pPr>
        <w:tabs>
          <w:tab w:val="num" w:pos="2160"/>
        </w:tabs>
        <w:ind w:left="2160" w:hanging="720"/>
      </w:pPr>
      <w:rPr>
        <w:color w:val="000000"/>
      </w:rPr>
    </w:lvl>
    <w:lvl w:ilvl="4">
      <w:start w:val="1"/>
      <w:numFmt w:val="upperLetter"/>
      <w:lvlText w:val="(%5)"/>
      <w:lvlJc w:val="left"/>
      <w:pPr>
        <w:tabs>
          <w:tab w:val="num" w:pos="2880"/>
        </w:tabs>
        <w:ind w:left="2880" w:hanging="720"/>
      </w:pPr>
      <w:rPr>
        <w:color w:val="000000"/>
      </w:rPr>
    </w:lvl>
    <w:lvl w:ilvl="5">
      <w:start w:val="1"/>
      <w:numFmt w:val="decimal"/>
      <w:lvlText w:val="(%6)"/>
      <w:lvlJc w:val="left"/>
      <w:pPr>
        <w:tabs>
          <w:tab w:val="num" w:pos="1571"/>
        </w:tabs>
        <w:ind w:left="1571" w:hanging="720"/>
      </w:pPr>
      <w:rPr>
        <w:i/>
        <w:color w:val="000000"/>
      </w:rPr>
    </w:lvl>
    <w:lvl w:ilvl="6">
      <w:start w:val="1"/>
      <w:numFmt w:val="upperRoman"/>
      <w:lvlText w:val="(%7)"/>
      <w:lvlJc w:val="left"/>
      <w:pPr>
        <w:tabs>
          <w:tab w:val="num" w:pos="4320"/>
        </w:tabs>
        <w:ind w:left="4320" w:hanging="720"/>
      </w:pPr>
      <w:rPr>
        <w:color w:val="000000"/>
      </w:rPr>
    </w:lvl>
    <w:lvl w:ilvl="7">
      <w:start w:val="1"/>
      <w:numFmt w:val="none"/>
      <w:suff w:val="nothing"/>
      <w:lvlText w:val=""/>
      <w:lvlJc w:val="left"/>
      <w:pPr>
        <w:ind w:left="0" w:firstLine="0"/>
      </w:pPr>
      <w:rPr>
        <w:color w:val="000000"/>
      </w:rPr>
    </w:lvl>
    <w:lvl w:ilvl="8">
      <w:start w:val="1"/>
      <w:numFmt w:val="none"/>
      <w:suff w:val="nothing"/>
      <w:lvlText w:val=""/>
      <w:lvlJc w:val="left"/>
      <w:pPr>
        <w:ind w:left="0" w:firstLine="0"/>
      </w:pPr>
      <w:rPr>
        <w:color w:val="000000"/>
      </w:rPr>
    </w:lvl>
  </w:abstractNum>
  <w:abstractNum w:abstractNumId="2" w15:restartNumberingAfterBreak="0">
    <w:nsid w:val="766D1854"/>
    <w:multiLevelType w:val="hybridMultilevel"/>
    <w:tmpl w:val="6F380F7E"/>
    <w:lvl w:ilvl="0" w:tplc="F1D6389C">
      <w:start w:val="1"/>
      <w:numFmt w:val="decimal"/>
      <w:lvlText w:val="%1."/>
      <w:lvlJc w:val="left"/>
      <w:pPr>
        <w:tabs>
          <w:tab w:val="num" w:pos="720"/>
        </w:tabs>
        <w:ind w:left="720" w:hanging="720"/>
      </w:pPr>
      <w:rPr>
        <w:rFonts w:ascii="Times New Roman" w:hAnsi="Times New Roman" w:cs="Times New Roman" w:hint="default"/>
        <w:b w:val="0"/>
        <w:i w:val="0"/>
        <w:color w:val="auto"/>
        <w:sz w:val="24"/>
        <w:szCs w:val="24"/>
        <w:lang w:val="en-GB"/>
      </w:rPr>
    </w:lvl>
    <w:lvl w:ilvl="1" w:tplc="0409000F">
      <w:start w:val="1"/>
      <w:numFmt w:val="decimal"/>
      <w:lvlText w:val="%2."/>
      <w:lvlJc w:val="left"/>
      <w:pPr>
        <w:tabs>
          <w:tab w:val="num" w:pos="2509"/>
        </w:tabs>
        <w:ind w:left="2509" w:hanging="360"/>
      </w:pPr>
    </w:lvl>
    <w:lvl w:ilvl="2" w:tplc="0409001B">
      <w:start w:val="1"/>
      <w:numFmt w:val="lowerRoman"/>
      <w:lvlText w:val="%3."/>
      <w:lvlJc w:val="right"/>
      <w:pPr>
        <w:tabs>
          <w:tab w:val="num" w:pos="2874"/>
        </w:tabs>
        <w:ind w:left="2874" w:hanging="180"/>
      </w:pPr>
    </w:lvl>
    <w:lvl w:ilvl="3" w:tplc="0409000F">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241"/>
    <w:rsid w:val="00070C0F"/>
    <w:rsid w:val="002C08F2"/>
    <w:rsid w:val="00690B5E"/>
    <w:rsid w:val="007F5217"/>
    <w:rsid w:val="00A90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00EFF"/>
  <w15:chartTrackingRefBased/>
  <w15:docId w15:val="{6C720150-AF2E-43B0-83E2-0C2A1AAC4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9024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90241"/>
    <w:pPr>
      <w:keepNext w:val="0"/>
      <w:keepLines w:val="0"/>
      <w:numPr>
        <w:ilvl w:val="1"/>
        <w:numId w:val="2"/>
      </w:numPr>
      <w:spacing w:before="360" w:after="240" w:line="240" w:lineRule="auto"/>
      <w:outlineLvl w:val="1"/>
    </w:pPr>
    <w:rPr>
      <w:rFonts w:ascii="Times New Roman" w:eastAsia="MS Mincho" w:hAnsi="Times New Roman" w:cs="Times New Roman"/>
      <w:b/>
      <w:bCs/>
      <w:iCs/>
      <w:snapToGrid w:val="0"/>
      <w:color w:val="auto"/>
      <w:kern w:val="32"/>
      <w:sz w:val="24"/>
      <w:szCs w:val="26"/>
      <w:lang w:eastAsia="ja-JP"/>
    </w:rPr>
  </w:style>
  <w:style w:type="paragraph" w:styleId="Heading4">
    <w:name w:val="heading 4"/>
    <w:basedOn w:val="Normal"/>
    <w:next w:val="Normal"/>
    <w:link w:val="Heading4Char"/>
    <w:uiPriority w:val="9"/>
    <w:semiHidden/>
    <w:unhideWhenUsed/>
    <w:qFormat/>
    <w:rsid w:val="00A9024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A90241"/>
    <w:pPr>
      <w:keepNext w:val="0"/>
      <w:keepLines w:val="0"/>
      <w:numPr>
        <w:ilvl w:val="3"/>
        <w:numId w:val="2"/>
      </w:numPr>
      <w:tabs>
        <w:tab w:val="left" w:pos="1134"/>
      </w:tabs>
      <w:spacing w:before="240" w:after="240" w:line="240" w:lineRule="auto"/>
      <w:outlineLvl w:val="4"/>
    </w:pPr>
    <w:rPr>
      <w:rFonts w:ascii="Times New Roman" w:eastAsia="MS Mincho" w:hAnsi="Times New Roman" w:cs="Times New Roman"/>
      <w:bCs/>
      <w:i w:val="0"/>
      <w:snapToGrid w:val="0"/>
      <w:color w:val="auto"/>
      <w:kern w:val="32"/>
      <w:sz w:val="24"/>
      <w:szCs w:val="26"/>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90241"/>
    <w:rPr>
      <w:rFonts w:ascii="Times New Roman" w:eastAsia="MS Mincho" w:hAnsi="Times New Roman" w:cs="Times New Roman"/>
      <w:b/>
      <w:bCs/>
      <w:iCs/>
      <w:snapToGrid w:val="0"/>
      <w:kern w:val="32"/>
      <w:sz w:val="24"/>
      <w:szCs w:val="26"/>
      <w:lang w:eastAsia="ja-JP"/>
    </w:rPr>
  </w:style>
  <w:style w:type="character" w:customStyle="1" w:styleId="Heading5Char">
    <w:name w:val="Heading 5 Char"/>
    <w:basedOn w:val="DefaultParagraphFont"/>
    <w:link w:val="Heading5"/>
    <w:rsid w:val="00A90241"/>
    <w:rPr>
      <w:rFonts w:ascii="Times New Roman" w:eastAsia="MS Mincho" w:hAnsi="Times New Roman" w:cs="Times New Roman"/>
      <w:bCs/>
      <w:iCs/>
      <w:snapToGrid w:val="0"/>
      <w:kern w:val="32"/>
      <w:sz w:val="24"/>
      <w:szCs w:val="26"/>
      <w:lang w:eastAsia="ja-JP"/>
    </w:rPr>
  </w:style>
  <w:style w:type="paragraph" w:styleId="FootnoteText">
    <w:name w:val="footnote text"/>
    <w:aliases w:val="Testo_note,fn,footnote text,ft,Footnotes,Footnote ak,fn cafc,fn Char,footnote text Char,Footnotes Char,Footnote ak Char Char Char,Footnote ak Char Char,Footnote Text Char1 Char Char,Footnote Text Char Char Char Char,f,footnote citation,C"/>
    <w:basedOn w:val="Normal"/>
    <w:link w:val="FootnoteTextChar"/>
    <w:autoRedefine/>
    <w:uiPriority w:val="99"/>
    <w:qFormat/>
    <w:rsid w:val="00A90241"/>
    <w:pPr>
      <w:tabs>
        <w:tab w:val="left" w:pos="0"/>
      </w:tabs>
      <w:spacing w:after="0" w:line="240" w:lineRule="auto"/>
      <w:ind w:left="720" w:hanging="720"/>
      <w:jc w:val="both"/>
    </w:pPr>
    <w:rPr>
      <w:rFonts w:ascii="Times New Roman" w:eastAsia="MS Mincho" w:hAnsi="Times New Roman" w:cs="Times New Roman"/>
      <w:sz w:val="18"/>
      <w:szCs w:val="16"/>
    </w:rPr>
  </w:style>
  <w:style w:type="character" w:customStyle="1" w:styleId="FootnoteTextChar">
    <w:name w:val="Footnote Text Char"/>
    <w:aliases w:val="Testo_note Char,fn Char1,footnote text Char1,ft Char,Footnotes Char1,Footnote ak Char,fn cafc Char,fn Char Char,footnote text Char Char,Footnotes Char Char,Footnote ak Char Char Char Char,Footnote ak Char Char Char1,f Char,C Char"/>
    <w:basedOn w:val="DefaultParagraphFont"/>
    <w:link w:val="FootnoteText"/>
    <w:uiPriority w:val="99"/>
    <w:rsid w:val="00A90241"/>
    <w:rPr>
      <w:rFonts w:ascii="Times New Roman" w:eastAsia="MS Mincho" w:hAnsi="Times New Roman" w:cs="Times New Roman"/>
      <w:sz w:val="18"/>
      <w:szCs w:val="16"/>
    </w:rPr>
  </w:style>
  <w:style w:type="character" w:styleId="FootnoteReference">
    <w:name w:val="footnote reference"/>
    <w:aliases w:val="Ref,de nota al pie,註腳內容,Footnote Reference1,Ref1,de nota al pie1,de nota al pie + (Asian) MS Mincho,11 pt,-E Fußnotenzeichen,註?腳Ò®é»,11 p,註?腳內—e,????,16 Point,Superscript 6 Point,-E Fuﬂnotenzeichen,註?腳內Ñe,-E Fu§notenzeichen,註??腳內—e,1"/>
    <w:link w:val="CharChar6CharCharCharCharCharChar"/>
    <w:uiPriority w:val="99"/>
    <w:qFormat/>
    <w:rsid w:val="00A90241"/>
    <w:rPr>
      <w:vertAlign w:val="superscript"/>
    </w:rPr>
  </w:style>
  <w:style w:type="character" w:styleId="Hyperlink">
    <w:name w:val="Hyperlink"/>
    <w:uiPriority w:val="99"/>
    <w:rsid w:val="00A90241"/>
    <w:rPr>
      <w:color w:val="0000FF"/>
      <w:u w:val="single"/>
    </w:rPr>
  </w:style>
  <w:style w:type="paragraph" w:styleId="ListParagraph">
    <w:name w:val="List Paragraph"/>
    <w:basedOn w:val="Normal"/>
    <w:uiPriority w:val="34"/>
    <w:qFormat/>
    <w:rsid w:val="00A90241"/>
    <w:pPr>
      <w:spacing w:after="0" w:line="240" w:lineRule="auto"/>
      <w:ind w:left="720"/>
    </w:pPr>
    <w:rPr>
      <w:rFonts w:ascii="Times New Roman" w:eastAsia="MS Mincho" w:hAnsi="Times New Roman" w:cs="Times New Roman"/>
      <w:sz w:val="24"/>
      <w:szCs w:val="24"/>
      <w:lang w:val="en-US" w:eastAsia="ja-JP"/>
    </w:rPr>
  </w:style>
  <w:style w:type="paragraph" w:customStyle="1" w:styleId="EUROFER1">
    <w:name w:val="EUROFER 1"/>
    <w:basedOn w:val="Heading1"/>
    <w:qFormat/>
    <w:rsid w:val="00A90241"/>
    <w:pPr>
      <w:keepNext w:val="0"/>
      <w:keepLines w:val="0"/>
      <w:numPr>
        <w:numId w:val="2"/>
      </w:numPr>
      <w:tabs>
        <w:tab w:val="num" w:pos="360"/>
      </w:tabs>
      <w:spacing w:before="480" w:after="240" w:line="240" w:lineRule="auto"/>
      <w:ind w:left="0" w:firstLine="0"/>
    </w:pPr>
    <w:rPr>
      <w:rFonts w:ascii="Times New Roman" w:eastAsia="MS Mincho" w:hAnsi="Times New Roman" w:cs="Times New Roman"/>
      <w:b/>
      <w:bCs/>
      <w:iCs/>
      <w:caps/>
      <w:snapToGrid w:val="0"/>
      <w:color w:val="auto"/>
      <w:kern w:val="32"/>
      <w:sz w:val="24"/>
      <w:szCs w:val="26"/>
      <w:lang w:eastAsia="ja-JP"/>
    </w:rPr>
  </w:style>
  <w:style w:type="paragraph" w:customStyle="1" w:styleId="EUROFER3">
    <w:name w:val="EUROFER 3"/>
    <w:basedOn w:val="Heading2"/>
    <w:qFormat/>
    <w:rsid w:val="00A90241"/>
    <w:pPr>
      <w:numPr>
        <w:ilvl w:val="2"/>
      </w:numPr>
      <w:tabs>
        <w:tab w:val="num" w:pos="360"/>
      </w:tabs>
    </w:pPr>
    <w:rPr>
      <w:b w:val="0"/>
    </w:rPr>
  </w:style>
  <w:style w:type="paragraph" w:customStyle="1" w:styleId="EUROFER6">
    <w:name w:val="EUROFER  6"/>
    <w:basedOn w:val="Normal"/>
    <w:qFormat/>
    <w:rsid w:val="00A90241"/>
    <w:pPr>
      <w:numPr>
        <w:ilvl w:val="4"/>
        <w:numId w:val="2"/>
      </w:numPr>
      <w:tabs>
        <w:tab w:val="left" w:pos="1134"/>
      </w:tabs>
      <w:spacing w:before="240" w:after="240" w:line="240" w:lineRule="auto"/>
      <w:outlineLvl w:val="4"/>
    </w:pPr>
    <w:rPr>
      <w:rFonts w:ascii="Times New Roman" w:eastAsia="MS Mincho" w:hAnsi="Times New Roman" w:cs="Times New Roman"/>
      <w:snapToGrid w:val="0"/>
      <w:sz w:val="24"/>
      <w:szCs w:val="26"/>
      <w:lang w:eastAsia="ja-JP"/>
    </w:rPr>
  </w:style>
  <w:style w:type="paragraph" w:customStyle="1" w:styleId="CharChar6CharCharCharCharCharChar">
    <w:name w:val="Char Char6 Char Char Char Char Char Char"/>
    <w:aliases w:val="Char6 Char Char Char Char Char Char Char"/>
    <w:basedOn w:val="Normal"/>
    <w:link w:val="FootnoteReference"/>
    <w:uiPriority w:val="99"/>
    <w:rsid w:val="00A90241"/>
    <w:pPr>
      <w:spacing w:after="0" w:line="240" w:lineRule="auto"/>
      <w:jc w:val="center"/>
    </w:pPr>
    <w:rPr>
      <w:vertAlign w:val="superscript"/>
    </w:rPr>
  </w:style>
  <w:style w:type="character" w:customStyle="1" w:styleId="Heading1Char">
    <w:name w:val="Heading 1 Char"/>
    <w:basedOn w:val="DefaultParagraphFont"/>
    <w:link w:val="Heading1"/>
    <w:uiPriority w:val="9"/>
    <w:rsid w:val="00A90241"/>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A90241"/>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cset.georgetown.edu/wp-content/uploads/t0284_14th_Five_Year_Plan_EN.pdf" TargetMode="External"/><Relationship Id="rId13" Type="http://schemas.openxmlformats.org/officeDocument/2006/relationships/hyperlink" Target="https://www.reuters.com/article/us-china-iron-ore-idUSKCN2DX0EE" TargetMode="External"/><Relationship Id="rId3" Type="http://schemas.openxmlformats.org/officeDocument/2006/relationships/hyperlink" Target="https://www.fitchratings.com/research/corporate-finance/spotlight-china-bauwu-steel-27-06-2021" TargetMode="External"/><Relationship Id="rId7" Type="http://schemas.openxmlformats.org/officeDocument/2006/relationships/hyperlink" Target="https://www.oecd.org/trade/topics/trade-in-raw-materials/documents/methodological-note-inventory-export-restrictions-industrial-raw-materials.pdf" TargetMode="External"/><Relationship Id="rId12" Type="http://schemas.openxmlformats.org/officeDocument/2006/relationships/hyperlink" Target="https://www.reuters.com/world/china/china-intervenes-manage-commodity-prices-2021-08-04/" TargetMode="External"/><Relationship Id="rId2" Type="http://schemas.openxmlformats.org/officeDocument/2006/relationships/hyperlink" Target="https://www.marketplace.org/2021/03/01/industrial-policy-if-china-does-it-why-cant-we/" TargetMode="External"/><Relationship Id="rId1" Type="http://schemas.openxmlformats.org/officeDocument/2006/relationships/hyperlink" Target="https://www.oecd-ilibrary.org/docserver/7c66570e-en.pdf?expires=1634897777&amp;id=id&amp;accname=guest&amp;checksum=3095BC87BC68666578D757C403B87307" TargetMode="External"/><Relationship Id="rId6" Type="http://schemas.openxmlformats.org/officeDocument/2006/relationships/hyperlink" Target="http://www.compareyourcountry.org/trade-in-raw-materials/en/0/COKING_COAL/all/default/2019" TargetMode="External"/><Relationship Id="rId11" Type="http://schemas.openxmlformats.org/officeDocument/2006/relationships/hyperlink" Target="https://www.nasdaq.com/articles/china-investigates-commodity-prices-and-supplies-2021-06-23" TargetMode="External"/><Relationship Id="rId5" Type="http://schemas.openxmlformats.org/officeDocument/2006/relationships/hyperlink" Target="http://www.compareyourcountry.org/trade-in-raw-materials/en/0/FEORE_CRUDE/all/default/2018" TargetMode="External"/><Relationship Id="rId15" Type="http://schemas.openxmlformats.org/officeDocument/2006/relationships/hyperlink" Target="https://www.ft.com/content/bceb085a-7e39-11e6-bc52-0c7211ef3198" TargetMode="External"/><Relationship Id="rId10" Type="http://schemas.openxmlformats.org/officeDocument/2006/relationships/hyperlink" Target="https://www.reuters.com/article/us-china-iron-ore-idUSKCN2DX0EE" TargetMode="External"/><Relationship Id="rId4" Type="http://schemas.openxmlformats.org/officeDocument/2006/relationships/hyperlink" Target="https://cset.georgetown.edu/wp-content/uploads/t0284_14th_Five_Year_Plan_EN.pdf" TargetMode="External"/><Relationship Id="rId9" Type="http://schemas.openxmlformats.org/officeDocument/2006/relationships/hyperlink" Target="https://www.globaltimes.cn/page/202107/1229999.shtml" TargetMode="External"/><Relationship Id="rId14" Type="http://schemas.openxmlformats.org/officeDocument/2006/relationships/hyperlink" Target="https://themarketherald.com.au/iron-ore-takes-hit-as-china-launches-probe-into-high-prices-2021-06-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5206</Words>
  <Characters>26033</Characters>
  <Application>Microsoft Office Word</Application>
  <DocSecurity>0</DocSecurity>
  <Lines>1301</Lines>
  <Paragraphs>1487</Paragraphs>
  <ScaleCrop>false</ScaleCrop>
  <HeadingPairs>
    <vt:vector size="2" baseType="variant">
      <vt:variant>
        <vt:lpstr>Title</vt:lpstr>
      </vt:variant>
      <vt:variant>
        <vt:i4>1</vt:i4>
      </vt:variant>
    </vt:vector>
  </HeadingPairs>
  <TitlesOfParts>
    <vt:vector size="1" baseType="lpstr">
      <vt:lpstr/>
    </vt:vector>
  </TitlesOfParts>
  <Company>White &amp; Case LLP</Company>
  <LinksUpToDate>false</LinksUpToDate>
  <CharactersWithSpaces>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Nyagolov</dc:creator>
  <cp:keywords/>
  <dc:description/>
  <cp:lastModifiedBy>Vladimir Nyagolov</cp:lastModifiedBy>
  <cp:revision>1</cp:revision>
  <dcterms:created xsi:type="dcterms:W3CDTF">2022-07-12T08:59:00Z</dcterms:created>
  <dcterms:modified xsi:type="dcterms:W3CDTF">2022-07-12T09:11:00Z</dcterms:modified>
</cp:coreProperties>
</file>